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8178C" w14:textId="77777777" w:rsidR="004A45C9" w:rsidRPr="00DE72F6" w:rsidRDefault="004A45C9" w:rsidP="004A45C9">
      <w:pPr>
        <w:pStyle w:val="Naslov11"/>
      </w:pPr>
      <w:r>
        <w:t>CHARTS OF THE WEEK</w:t>
      </w:r>
    </w:p>
    <w:p w14:paraId="1B4C1939" w14:textId="77777777" w:rsidR="004A45C9" w:rsidRDefault="004A45C9" w:rsidP="004A45C9">
      <w:pPr>
        <w:pStyle w:val="Naslov21"/>
      </w:pPr>
      <w:r>
        <w:t>26 April–5 May 2023</w:t>
      </w:r>
    </w:p>
    <w:p w14:paraId="51705E7F" w14:textId="77777777" w:rsidR="004A45C9" w:rsidRDefault="004A45C9" w:rsidP="004A45C9"/>
    <w:p w14:paraId="5EE61037" w14:textId="77777777" w:rsidR="004A45C9" w:rsidRDefault="004A45C9" w:rsidP="004A45C9"/>
    <w:p w14:paraId="3B090544" w14:textId="77777777" w:rsidR="004A45C9" w:rsidRDefault="004A45C9" w:rsidP="004A45C9">
      <w:pPr>
        <w:spacing w:line="240" w:lineRule="atLeast"/>
        <w:rPr>
          <w:rFonts w:cs="Myriad Pro"/>
          <w:color w:val="000000"/>
        </w:rPr>
      </w:pPr>
      <w:r>
        <w:t xml:space="preserve">Year-on-year consumer price inflation slowed slightly in April, although it was still high at 9.4%. As in previous months, the main contributors to growth were food and non-alcoholic beverage prices, which were 15.8% higher year-on-year in April. Core inflation also remains high. </w:t>
      </w:r>
      <w:r>
        <w:rPr>
          <w:color w:val="000000" w:themeColor="text1"/>
        </w:rPr>
        <w:t xml:space="preserve">The number of unemployed fell further in April: by 16.3% year-on-year. The number of long-term unemployed also declined, by almost one-third. </w:t>
      </w:r>
      <w:r>
        <w:t>Gas consumption in April was only about 1% below the comparable consumption of previous years, while electricity consumption was 12% lower year-on-year. Trade in goods continued to decline in the first quarter, mainly due to the uncertain economic situation in Slovenia’s main trading partners and the resulting low foreign demand. In most market services, real turnover increased or remained unchanged in February compared to January. It decreased in accommodation and food service activities and transportation and storage. It also decreased again in most trade sectors. Preliminary data suggest that similar trends continued in March. In the second half of April, nominal year-on-year growth in the value of fiscally verified invoices strengthened, mainly due to the higher number of working days due to the timing of public holidays and higher turnover in retail trade.</w:t>
      </w:r>
    </w:p>
    <w:p w14:paraId="641BE222" w14:textId="77777777" w:rsidR="004A45C9" w:rsidRPr="00AD4094" w:rsidRDefault="004A45C9" w:rsidP="004A45C9">
      <w:pPr>
        <w:spacing w:line="240" w:lineRule="atLeast"/>
        <w:rPr>
          <w:highlight w:val="yellow"/>
        </w:rPr>
      </w:pPr>
    </w:p>
    <w:p w14:paraId="1CBF29CA" w14:textId="77777777" w:rsidR="004A45C9" w:rsidRPr="00625493" w:rsidRDefault="004A45C9" w:rsidP="004A45C9">
      <w:pPr>
        <w:tabs>
          <w:tab w:val="left" w:pos="580"/>
        </w:tabs>
      </w:pPr>
    </w:p>
    <w:p w14:paraId="6CB2F263" w14:textId="77777777" w:rsidR="004A45C9" w:rsidRPr="005247CB" w:rsidRDefault="004A45C9" w:rsidP="004A45C9">
      <w:pPr>
        <w:tabs>
          <w:tab w:val="left" w:pos="580"/>
        </w:tabs>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114"/>
        <w:gridCol w:w="3543"/>
      </w:tblGrid>
      <w:tr w:rsidR="004A45C9" w14:paraId="67014874" w14:textId="77777777" w:rsidTr="003C416C">
        <w:trPr>
          <w:trHeight w:val="207"/>
        </w:trPr>
        <w:tc>
          <w:tcPr>
            <w:tcW w:w="6096" w:type="dxa"/>
            <w:gridSpan w:val="2"/>
            <w:tcBorders>
              <w:bottom w:val="single" w:sz="4" w:space="0" w:color="auto"/>
            </w:tcBorders>
            <w:tcMar>
              <w:left w:w="0" w:type="dxa"/>
            </w:tcMar>
          </w:tcPr>
          <w:p w14:paraId="2809AF29" w14:textId="77777777" w:rsidR="004A45C9" w:rsidRPr="006C2117" w:rsidRDefault="004A45C9" w:rsidP="003C416C">
            <w:pPr>
              <w:pStyle w:val="Naslov31"/>
              <w:jc w:val="left"/>
            </w:pPr>
            <w:r>
              <w:t xml:space="preserve">Consumer prices, April 2023 </w:t>
            </w:r>
          </w:p>
        </w:tc>
        <w:tc>
          <w:tcPr>
            <w:tcW w:w="3543" w:type="dxa"/>
            <w:tcBorders>
              <w:bottom w:val="single" w:sz="4" w:space="0" w:color="auto"/>
            </w:tcBorders>
          </w:tcPr>
          <w:p w14:paraId="169180A7" w14:textId="77777777" w:rsidR="004A45C9" w:rsidRPr="006C2117" w:rsidRDefault="004A45C9" w:rsidP="003C416C">
            <w:pPr>
              <w:pStyle w:val="Naslov31"/>
            </w:pPr>
          </w:p>
        </w:tc>
      </w:tr>
      <w:tr w:rsidR="004A45C9" w14:paraId="6D0F1D0C" w14:textId="77777777" w:rsidTr="003C416C">
        <w:trPr>
          <w:trHeight w:val="1134"/>
        </w:trPr>
        <w:tc>
          <w:tcPr>
            <w:tcW w:w="4982" w:type="dxa"/>
            <w:tcBorders>
              <w:top w:val="single" w:sz="4" w:space="0" w:color="auto"/>
            </w:tcBorders>
            <w:tcMar>
              <w:left w:w="0" w:type="dxa"/>
            </w:tcMar>
          </w:tcPr>
          <w:p w14:paraId="3745766A" w14:textId="026525DE" w:rsidR="004A45C9" w:rsidRDefault="004A45C9" w:rsidP="003C416C">
            <w:pPr>
              <w:pStyle w:val="ListParagraph"/>
              <w:ind w:left="0"/>
            </w:pPr>
            <w:r>
              <w:rPr>
                <w:noProof/>
              </w:rPr>
              <w:drawing>
                <wp:inline distT="0" distB="0" distL="0" distR="0" wp14:anchorId="176D2083" wp14:editId="7675209D">
                  <wp:extent cx="3127248" cy="259689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7248" cy="2596896"/>
                          </a:xfrm>
                          <a:prstGeom prst="rect">
                            <a:avLst/>
                          </a:prstGeom>
                          <a:noFill/>
                        </pic:spPr>
                      </pic:pic>
                    </a:graphicData>
                  </a:graphic>
                </wp:inline>
              </w:drawing>
            </w:r>
          </w:p>
        </w:tc>
        <w:tc>
          <w:tcPr>
            <w:tcW w:w="4657" w:type="dxa"/>
            <w:gridSpan w:val="2"/>
            <w:tcBorders>
              <w:top w:val="single" w:sz="4" w:space="0" w:color="auto"/>
            </w:tcBorders>
            <w:tcMar>
              <w:left w:w="284" w:type="dxa"/>
            </w:tcMar>
          </w:tcPr>
          <w:p w14:paraId="7EDC860A" w14:textId="77777777" w:rsidR="004A45C9" w:rsidRPr="00DF4F0B" w:rsidRDefault="004A45C9" w:rsidP="003C416C">
            <w:pPr>
              <w:rPr>
                <w:rFonts w:eastAsia="Myriad Pro" w:cs="Myriad Pro"/>
              </w:rPr>
            </w:pPr>
            <w:r>
              <w:rPr>
                <w:b/>
              </w:rPr>
              <w:t xml:space="preserve">The year-on-year increase in consumer prices slowed slightly in April, but was still quite high at 9.4%. </w:t>
            </w:r>
            <w:r>
              <w:t xml:space="preserve">Food and non-alcoholic beverage prices remain the largest contributor to overall growth (2.7 p.p.), although their year-on-year increase slowed to 15.8% (from 19% in March). This is due to a monthly decline in prices (for the first time since November 2021), which we estimate to be driven by the stabilisation of the situation in the energy and input markets (e.g. for fertilisers). The higher base from last April, when food and non-alcoholic beverage prices rose by a full 2.7% on a monthly basis, also contributed significantly to the lower year-on-year growth. The high base also contributed to lower price growth in the group housing, water, electricity, gas and other fuels (13.7%). Growth of durable goods prices has continued to gradually moderate (5.5%), while growth of semi-durable goods prices strengthened in the last two months (6%). The year-on-year price increase in services fluctuated considerably in the last two months, partly due to the rather strong seasonal changes in package holiday prices, and reached almost 8% again in April. Core inflation is also hovering around 8%. </w:t>
            </w:r>
          </w:p>
        </w:tc>
      </w:tr>
    </w:tbl>
    <w:p w14:paraId="414CE352" w14:textId="1119814B" w:rsidR="00F769F3" w:rsidRDefault="00DA11CF" w:rsidP="00F769F3">
      <w:pPr>
        <w:tabs>
          <w:tab w:val="left" w:pos="580"/>
        </w:tabs>
      </w:pPr>
      <w:r>
        <w:br w:type="page"/>
      </w:r>
    </w:p>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04"/>
        <w:gridCol w:w="202"/>
        <w:gridCol w:w="4539"/>
      </w:tblGrid>
      <w:tr w:rsidR="004A45C9" w14:paraId="433E4C8D" w14:textId="77777777" w:rsidTr="003C416C">
        <w:trPr>
          <w:trHeight w:val="207"/>
        </w:trPr>
        <w:tc>
          <w:tcPr>
            <w:tcW w:w="5106" w:type="dxa"/>
            <w:gridSpan w:val="2"/>
            <w:tcBorders>
              <w:top w:val="nil"/>
              <w:left w:val="nil"/>
              <w:bottom w:val="single" w:sz="4" w:space="0" w:color="auto"/>
              <w:right w:val="nil"/>
            </w:tcBorders>
            <w:hideMark/>
          </w:tcPr>
          <w:p w14:paraId="1FDDA2AF" w14:textId="77777777" w:rsidR="004A45C9" w:rsidRDefault="004A45C9" w:rsidP="003C416C">
            <w:pPr>
              <w:pStyle w:val="Naslov31"/>
              <w:jc w:val="left"/>
            </w:pPr>
            <w:r>
              <w:lastRenderedPageBreak/>
              <w:t xml:space="preserve">Number of registered unemployed, April 2023 </w:t>
            </w:r>
          </w:p>
        </w:tc>
        <w:tc>
          <w:tcPr>
            <w:tcW w:w="4539" w:type="dxa"/>
            <w:tcBorders>
              <w:top w:val="nil"/>
              <w:left w:val="nil"/>
              <w:bottom w:val="single" w:sz="4" w:space="0" w:color="auto"/>
              <w:right w:val="nil"/>
            </w:tcBorders>
          </w:tcPr>
          <w:p w14:paraId="14B6C8B4" w14:textId="77777777" w:rsidR="004A45C9" w:rsidRDefault="004A45C9" w:rsidP="003C416C">
            <w:pPr>
              <w:pStyle w:val="Naslov31"/>
              <w:rPr>
                <w:highlight w:val="green"/>
              </w:rPr>
            </w:pPr>
          </w:p>
        </w:tc>
      </w:tr>
      <w:tr w:rsidR="004A45C9" w14:paraId="155F880F" w14:textId="77777777" w:rsidTr="003C416C">
        <w:trPr>
          <w:trHeight w:val="3353"/>
        </w:trPr>
        <w:tc>
          <w:tcPr>
            <w:tcW w:w="4904" w:type="dxa"/>
            <w:tcBorders>
              <w:top w:val="single" w:sz="4" w:space="0" w:color="auto"/>
              <w:left w:val="nil"/>
              <w:bottom w:val="nil"/>
              <w:right w:val="nil"/>
            </w:tcBorders>
            <w:hideMark/>
          </w:tcPr>
          <w:p w14:paraId="480B88AD" w14:textId="4C49F964" w:rsidR="004A45C9" w:rsidRDefault="004A45C9" w:rsidP="003C416C">
            <w:pPr>
              <w:pStyle w:val="ListParagraph"/>
              <w:ind w:left="0"/>
            </w:pPr>
            <w:r>
              <w:rPr>
                <w:noProof/>
              </w:rPr>
              <w:drawing>
                <wp:inline distT="0" distB="0" distL="0" distR="0" wp14:anchorId="1D1ECDED" wp14:editId="6061BC58">
                  <wp:extent cx="3127248" cy="2587752"/>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7248" cy="2587752"/>
                          </a:xfrm>
                          <a:prstGeom prst="rect">
                            <a:avLst/>
                          </a:prstGeom>
                          <a:noFill/>
                        </pic:spPr>
                      </pic:pic>
                    </a:graphicData>
                  </a:graphic>
                </wp:inline>
              </w:drawing>
            </w:r>
          </w:p>
        </w:tc>
        <w:tc>
          <w:tcPr>
            <w:tcW w:w="4741" w:type="dxa"/>
            <w:gridSpan w:val="2"/>
            <w:tcBorders>
              <w:top w:val="single" w:sz="4" w:space="0" w:color="auto"/>
              <w:left w:val="nil"/>
              <w:bottom w:val="nil"/>
              <w:right w:val="nil"/>
            </w:tcBorders>
            <w:tcMar>
              <w:top w:w="113" w:type="dxa"/>
              <w:left w:w="284" w:type="dxa"/>
              <w:bottom w:w="113" w:type="dxa"/>
              <w:right w:w="0" w:type="dxa"/>
            </w:tcMar>
          </w:tcPr>
          <w:p w14:paraId="7D872B50" w14:textId="77777777" w:rsidR="004A45C9" w:rsidRPr="00B83B6B" w:rsidRDefault="004A45C9" w:rsidP="003C416C">
            <w:pPr>
              <w:rPr>
                <w:b/>
                <w:bCs/>
              </w:rPr>
            </w:pPr>
            <w:r>
              <w:rPr>
                <w:b/>
              </w:rPr>
              <w:t>According to the seasonally adjusted data, the monthly decline in the number of registered unemployed was similar in April (-1.5%) as in the previous months. </w:t>
            </w:r>
            <w:r>
              <w:t>According to original data, 48,904 people were unemployed at the end of April, 3.4% less than at the end of March. Unemployment was down 16.3% year-on-year. Against the backdrop of severe labour shortages, the number of long-term unemployed fell by almost a third and the number of unemployed over 50 fell by 16.4%.</w:t>
            </w:r>
            <w:r>
              <w:rPr>
                <w:b/>
              </w:rPr>
              <w:t xml:space="preserve"> </w:t>
            </w:r>
          </w:p>
          <w:p w14:paraId="45958D6E" w14:textId="77777777" w:rsidR="004A45C9" w:rsidRDefault="004A45C9" w:rsidP="003C416C">
            <w:pPr>
              <w:rPr>
                <w:b/>
                <w:bCs/>
              </w:rPr>
            </w:pPr>
          </w:p>
        </w:tc>
      </w:tr>
    </w:tbl>
    <w:p w14:paraId="0CF36BCA" w14:textId="77777777" w:rsidR="004A45C9" w:rsidRDefault="004A45C9" w:rsidP="004A45C9"/>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04"/>
        <w:gridCol w:w="202"/>
        <w:gridCol w:w="4539"/>
      </w:tblGrid>
      <w:tr w:rsidR="004A45C9" w14:paraId="2960A801" w14:textId="77777777" w:rsidTr="003C416C">
        <w:trPr>
          <w:trHeight w:val="207"/>
        </w:trPr>
        <w:tc>
          <w:tcPr>
            <w:tcW w:w="5106" w:type="dxa"/>
            <w:gridSpan w:val="2"/>
            <w:tcBorders>
              <w:top w:val="nil"/>
              <w:left w:val="nil"/>
              <w:bottom w:val="single" w:sz="4" w:space="0" w:color="auto"/>
              <w:right w:val="nil"/>
            </w:tcBorders>
            <w:hideMark/>
          </w:tcPr>
          <w:p w14:paraId="717ACAAB" w14:textId="77777777" w:rsidR="004A45C9" w:rsidRDefault="004A45C9" w:rsidP="003C416C">
            <w:pPr>
              <w:pStyle w:val="Naslov31"/>
              <w:jc w:val="left"/>
            </w:pPr>
            <w:r>
              <w:t xml:space="preserve">Natural gas consumption, April 2023 </w:t>
            </w:r>
          </w:p>
        </w:tc>
        <w:tc>
          <w:tcPr>
            <w:tcW w:w="4539" w:type="dxa"/>
            <w:tcBorders>
              <w:top w:val="nil"/>
              <w:left w:val="nil"/>
              <w:bottom w:val="single" w:sz="4" w:space="0" w:color="auto"/>
              <w:right w:val="nil"/>
            </w:tcBorders>
          </w:tcPr>
          <w:p w14:paraId="0EBDFB5C" w14:textId="77777777" w:rsidR="004A45C9" w:rsidRDefault="004A45C9" w:rsidP="003C416C">
            <w:pPr>
              <w:pStyle w:val="Naslov31"/>
              <w:rPr>
                <w:highlight w:val="green"/>
              </w:rPr>
            </w:pPr>
          </w:p>
        </w:tc>
      </w:tr>
      <w:tr w:rsidR="004A45C9" w14:paraId="766DFC9F" w14:textId="77777777" w:rsidTr="003C416C">
        <w:trPr>
          <w:trHeight w:val="3353"/>
        </w:trPr>
        <w:tc>
          <w:tcPr>
            <w:tcW w:w="4904" w:type="dxa"/>
            <w:tcBorders>
              <w:top w:val="single" w:sz="4" w:space="0" w:color="auto"/>
              <w:left w:val="nil"/>
              <w:bottom w:val="nil"/>
              <w:right w:val="nil"/>
            </w:tcBorders>
            <w:hideMark/>
          </w:tcPr>
          <w:p w14:paraId="7C19EEF3" w14:textId="155793D0" w:rsidR="004A45C9" w:rsidRDefault="008D762E" w:rsidP="003C416C">
            <w:pPr>
              <w:pStyle w:val="ListParagraph"/>
              <w:ind w:left="0"/>
            </w:pPr>
            <w:r>
              <w:rPr>
                <w:noProof/>
              </w:rPr>
              <w:drawing>
                <wp:inline distT="0" distB="0" distL="0" distR="0" wp14:anchorId="0044CAE3" wp14:editId="6F210597">
                  <wp:extent cx="3114675" cy="254923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2120" cy="2555326"/>
                          </a:xfrm>
                          <a:prstGeom prst="rect">
                            <a:avLst/>
                          </a:prstGeom>
                          <a:noFill/>
                        </pic:spPr>
                      </pic:pic>
                    </a:graphicData>
                  </a:graphic>
                </wp:inline>
              </w:drawing>
            </w:r>
          </w:p>
        </w:tc>
        <w:tc>
          <w:tcPr>
            <w:tcW w:w="4741" w:type="dxa"/>
            <w:gridSpan w:val="2"/>
            <w:tcBorders>
              <w:top w:val="single" w:sz="4" w:space="0" w:color="auto"/>
              <w:left w:val="nil"/>
              <w:bottom w:val="nil"/>
              <w:right w:val="nil"/>
            </w:tcBorders>
            <w:tcMar>
              <w:top w:w="113" w:type="dxa"/>
              <w:left w:w="284" w:type="dxa"/>
              <w:bottom w:w="113" w:type="dxa"/>
              <w:right w:w="0" w:type="dxa"/>
            </w:tcMar>
          </w:tcPr>
          <w:p w14:paraId="09F0D026" w14:textId="77777777" w:rsidR="004A45C9" w:rsidRDefault="004A45C9" w:rsidP="003C416C">
            <w:pPr>
              <w:rPr>
                <w:b/>
                <w:bCs/>
              </w:rPr>
            </w:pPr>
            <w:r>
              <w:rPr>
                <w:b/>
              </w:rPr>
              <w:t>Amid cooler weather, gas consumption in April was only one percent lower than the comparable average consumption over the last five years.</w:t>
            </w:r>
            <w:r>
              <w:t xml:space="preserve"> The lower gas consumption can be attributed to lower production in some industries as a result of high gas prices and government measures to encourage more rational consumption, while the relatively high consumption in April, which almost reached the average consumption for this month in recent years, was due to lower temperatures that delayed the end of the heating season. EU Member States exceeded</w:t>
            </w:r>
            <w:r w:rsidRPr="00907FFE">
              <w:rPr>
                <w:rFonts w:eastAsia="Myriad Pro" w:cs="Myriad Pro"/>
                <w:vertAlign w:val="superscript"/>
              </w:rPr>
              <w:footnoteReference w:id="2"/>
            </w:r>
            <w:r>
              <w:t xml:space="preserve"> the target of reducing gas consumption by at least 15% between August last year and March this year – their gas consumption was almost 18% below the comparable average consumption of the five previous years, while Slovenia reduced its gas consumption by almost 14%, which was only one percentage point below the recommendation. At the end of March, the Council of the EU prolonged the regulation on voluntary gas de</w:t>
            </w:r>
            <w:bookmarkStart w:id="0" w:name="_GoBack"/>
            <w:bookmarkEnd w:id="0"/>
            <w:r>
              <w:t>mand reduction until the end of March 2024,</w:t>
            </w:r>
            <w:r>
              <w:rPr>
                <w:rStyle w:val="FootnoteReference"/>
                <w:rFonts w:eastAsia="Myriad Pro" w:cs="Myriad Pro"/>
              </w:rPr>
              <w:footnoteReference w:id="3"/>
            </w:r>
            <w:r>
              <w:t xml:space="preserve"> while stipulating that any increase in gas consumption due to the switching from coal to gas in district heating can be deducted from the calculation.</w:t>
            </w:r>
          </w:p>
        </w:tc>
      </w:tr>
    </w:tbl>
    <w:p w14:paraId="74815027" w14:textId="77777777" w:rsidR="004A45C9" w:rsidRDefault="004A45C9" w:rsidP="004A45C9"/>
    <w:p w14:paraId="1FECD3B1" w14:textId="77777777" w:rsidR="004A45C9" w:rsidRDefault="004A45C9" w:rsidP="004A45C9"/>
    <w:p w14:paraId="5B81F9F3" w14:textId="77777777" w:rsidR="004A45C9" w:rsidRDefault="004A45C9" w:rsidP="004A45C9">
      <w:pPr>
        <w:spacing w:after="160" w:line="259" w:lineRule="auto"/>
        <w:jc w:val="left"/>
      </w:pPr>
      <w:r>
        <w:br w:type="page"/>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676"/>
        <w:gridCol w:w="2981"/>
      </w:tblGrid>
      <w:tr w:rsidR="004A45C9" w:rsidRPr="00A4183C" w14:paraId="03805B9F" w14:textId="77777777" w:rsidTr="003C416C">
        <w:trPr>
          <w:trHeight w:val="207"/>
        </w:trPr>
        <w:tc>
          <w:tcPr>
            <w:tcW w:w="6658" w:type="dxa"/>
            <w:gridSpan w:val="2"/>
            <w:tcBorders>
              <w:bottom w:val="single" w:sz="4" w:space="0" w:color="auto"/>
            </w:tcBorders>
            <w:tcMar>
              <w:left w:w="0" w:type="dxa"/>
            </w:tcMar>
          </w:tcPr>
          <w:p w14:paraId="245ED883" w14:textId="77777777" w:rsidR="004A45C9" w:rsidRPr="00A4183C" w:rsidRDefault="004A45C9" w:rsidP="003C416C">
            <w:pPr>
              <w:jc w:val="left"/>
              <w:rPr>
                <w:b/>
              </w:rPr>
            </w:pPr>
            <w:r>
              <w:rPr>
                <w:b/>
              </w:rPr>
              <w:lastRenderedPageBreak/>
              <w:t>Electricity consumption, April 2023</w:t>
            </w:r>
          </w:p>
        </w:tc>
        <w:tc>
          <w:tcPr>
            <w:tcW w:w="2981" w:type="dxa"/>
            <w:tcBorders>
              <w:bottom w:val="single" w:sz="4" w:space="0" w:color="auto"/>
            </w:tcBorders>
          </w:tcPr>
          <w:p w14:paraId="65A4EF61" w14:textId="77777777" w:rsidR="004A45C9" w:rsidRPr="00A4183C" w:rsidRDefault="004A45C9" w:rsidP="003C416C">
            <w:pPr>
              <w:rPr>
                <w:b/>
              </w:rPr>
            </w:pPr>
          </w:p>
        </w:tc>
      </w:tr>
      <w:tr w:rsidR="004A45C9" w:rsidRPr="00A4183C" w14:paraId="370DBCA3" w14:textId="77777777" w:rsidTr="003C416C">
        <w:trPr>
          <w:trHeight w:val="1134"/>
        </w:trPr>
        <w:tc>
          <w:tcPr>
            <w:tcW w:w="4982" w:type="dxa"/>
            <w:tcBorders>
              <w:top w:val="single" w:sz="4" w:space="0" w:color="auto"/>
            </w:tcBorders>
            <w:tcMar>
              <w:left w:w="0" w:type="dxa"/>
            </w:tcMar>
          </w:tcPr>
          <w:p w14:paraId="6E478E25" w14:textId="0F1961D2" w:rsidR="004A45C9" w:rsidRPr="00A4183C" w:rsidRDefault="004A45C9" w:rsidP="003C416C">
            <w:pPr>
              <w:contextualSpacing/>
            </w:pPr>
            <w:r>
              <w:rPr>
                <w:noProof/>
              </w:rPr>
              <w:drawing>
                <wp:inline distT="0" distB="0" distL="0" distR="0" wp14:anchorId="329B0EEA" wp14:editId="5BCA7F9E">
                  <wp:extent cx="3044952" cy="2459736"/>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4952" cy="2459736"/>
                          </a:xfrm>
                          <a:prstGeom prst="rect">
                            <a:avLst/>
                          </a:prstGeom>
                          <a:noFill/>
                        </pic:spPr>
                      </pic:pic>
                    </a:graphicData>
                  </a:graphic>
                </wp:inline>
              </w:drawing>
            </w:r>
          </w:p>
        </w:tc>
        <w:tc>
          <w:tcPr>
            <w:tcW w:w="4657" w:type="dxa"/>
            <w:gridSpan w:val="2"/>
            <w:tcBorders>
              <w:top w:val="single" w:sz="4" w:space="0" w:color="auto"/>
            </w:tcBorders>
            <w:tcMar>
              <w:left w:w="284" w:type="dxa"/>
            </w:tcMar>
          </w:tcPr>
          <w:p w14:paraId="4A2501CD" w14:textId="77777777" w:rsidR="004A45C9" w:rsidRPr="00493A43" w:rsidRDefault="004A45C9" w:rsidP="003C416C">
            <w:pPr>
              <w:rPr>
                <w:b/>
                <w:bCs/>
                <w:color w:val="000000" w:themeColor="text1"/>
              </w:rPr>
            </w:pPr>
            <w:r>
              <w:rPr>
                <w:b/>
                <w:color w:val="000000" w:themeColor="text1"/>
              </w:rPr>
              <w:t xml:space="preserve">Electricity consumption fell by 12% year-on-year in April, more than in the previous month when it fell by 7%. </w:t>
            </w:r>
            <w:r>
              <w:rPr>
                <w:color w:val="000000" w:themeColor="text1"/>
              </w:rPr>
              <w:t>We estimate that the main reason for the year-on-year decline in consumption was lower consumption in the energy-intensive part of industry. We estimate that the shutdown of primary aluminium production in Talum, which is an energy-intensive company, made a significant contribution to the year-on-year decline in consumption in April. The lower consumption compared to last year may also have been influenced to a lesser extent by lower household consumption due to a more rational energy consumption and the impact of COVID-19 measures on higher base of last year. Slovenia’s main trading partners also recorded a year-on-year decline in consumption in April (France by 10%, Austria by 8%, Italy and Germany by 5% and Croatia by 4%).</w:t>
            </w:r>
          </w:p>
          <w:p w14:paraId="08C2DFBB" w14:textId="77777777" w:rsidR="004A45C9" w:rsidRPr="00A4183C" w:rsidRDefault="004A45C9" w:rsidP="003C416C">
            <w:pPr>
              <w:rPr>
                <w:b/>
                <w:bCs/>
                <w:color w:val="000000" w:themeColor="text1"/>
              </w:rPr>
            </w:pPr>
          </w:p>
        </w:tc>
      </w:tr>
    </w:tbl>
    <w:p w14:paraId="250A796E" w14:textId="77777777" w:rsidR="004A45C9" w:rsidRDefault="004A45C9" w:rsidP="004A45C9"/>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5"/>
        <w:gridCol w:w="1115"/>
        <w:gridCol w:w="3545"/>
      </w:tblGrid>
      <w:tr w:rsidR="004A45C9" w14:paraId="46DBE587" w14:textId="77777777" w:rsidTr="003C416C">
        <w:trPr>
          <w:trHeight w:val="207"/>
        </w:trPr>
        <w:tc>
          <w:tcPr>
            <w:tcW w:w="6100" w:type="dxa"/>
            <w:gridSpan w:val="2"/>
            <w:tcBorders>
              <w:top w:val="nil"/>
              <w:left w:val="nil"/>
              <w:bottom w:val="single" w:sz="4" w:space="0" w:color="auto"/>
              <w:right w:val="nil"/>
            </w:tcBorders>
            <w:hideMark/>
          </w:tcPr>
          <w:p w14:paraId="1DE13DFD" w14:textId="77777777" w:rsidR="004A45C9" w:rsidRDefault="004A45C9" w:rsidP="003C416C">
            <w:pPr>
              <w:pStyle w:val="Naslov31"/>
              <w:jc w:val="left"/>
            </w:pPr>
            <w:r>
              <w:t>Trade in goods – in real terms, March 2023</w:t>
            </w:r>
          </w:p>
        </w:tc>
        <w:tc>
          <w:tcPr>
            <w:tcW w:w="3545" w:type="dxa"/>
            <w:tcBorders>
              <w:top w:val="nil"/>
              <w:left w:val="nil"/>
              <w:bottom w:val="single" w:sz="4" w:space="0" w:color="auto"/>
              <w:right w:val="nil"/>
            </w:tcBorders>
          </w:tcPr>
          <w:p w14:paraId="6513E242" w14:textId="77777777" w:rsidR="004A45C9" w:rsidRDefault="004A45C9" w:rsidP="003C416C">
            <w:pPr>
              <w:pStyle w:val="Naslov31"/>
            </w:pPr>
          </w:p>
        </w:tc>
      </w:tr>
      <w:tr w:rsidR="004A45C9" w14:paraId="5E0F5EEC" w14:textId="77777777" w:rsidTr="003C416C">
        <w:trPr>
          <w:trHeight w:val="1134"/>
        </w:trPr>
        <w:tc>
          <w:tcPr>
            <w:tcW w:w="4985" w:type="dxa"/>
            <w:tcBorders>
              <w:top w:val="single" w:sz="4" w:space="0" w:color="auto"/>
              <w:left w:val="nil"/>
              <w:bottom w:val="nil"/>
              <w:right w:val="nil"/>
            </w:tcBorders>
          </w:tcPr>
          <w:p w14:paraId="7D0146ED" w14:textId="37A39153" w:rsidR="004A45C9" w:rsidRDefault="004A45C9" w:rsidP="003C416C">
            <w:pPr>
              <w:pStyle w:val="ListParagraph"/>
              <w:ind w:left="0"/>
            </w:pPr>
            <w:r>
              <w:rPr>
                <w:noProof/>
              </w:rPr>
              <w:drawing>
                <wp:inline distT="0" distB="0" distL="0" distR="0" wp14:anchorId="3A57ACC7" wp14:editId="190AFE0A">
                  <wp:extent cx="3099816" cy="2578608"/>
                  <wp:effectExtent l="0" t="0" r="571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99816" cy="2578608"/>
                          </a:xfrm>
                          <a:prstGeom prst="rect">
                            <a:avLst/>
                          </a:prstGeom>
                          <a:noFill/>
                        </pic:spPr>
                      </pic:pic>
                    </a:graphicData>
                  </a:graphic>
                </wp:inline>
              </w:drawing>
            </w:r>
          </w:p>
          <w:p w14:paraId="350AFEF7" w14:textId="77777777" w:rsidR="004A45C9" w:rsidRDefault="004A45C9" w:rsidP="003C416C">
            <w:pPr>
              <w:pStyle w:val="ListParagraph"/>
              <w:ind w:left="0"/>
            </w:pPr>
          </w:p>
        </w:tc>
        <w:tc>
          <w:tcPr>
            <w:tcW w:w="4660" w:type="dxa"/>
            <w:gridSpan w:val="2"/>
            <w:tcBorders>
              <w:top w:val="single" w:sz="4" w:space="0" w:color="auto"/>
              <w:left w:val="nil"/>
              <w:bottom w:val="nil"/>
              <w:right w:val="nil"/>
            </w:tcBorders>
            <w:tcMar>
              <w:top w:w="113" w:type="dxa"/>
              <w:left w:w="284" w:type="dxa"/>
              <w:bottom w:w="113" w:type="dxa"/>
              <w:right w:w="0" w:type="dxa"/>
            </w:tcMar>
          </w:tcPr>
          <w:p w14:paraId="6B88115F" w14:textId="73C6D5B9" w:rsidR="004A45C9" w:rsidRDefault="004A45C9" w:rsidP="004A45C9">
            <w:pPr>
              <w:rPr>
                <w:b/>
                <w:bCs/>
              </w:rPr>
            </w:pPr>
            <w:r>
              <w:rPr>
                <w:b/>
              </w:rPr>
              <w:t>Trade in goods slowed further in current terms in the first quarter of this year.</w:t>
            </w:r>
            <w:r>
              <w:rPr>
                <w:rStyle w:val="FootnoteReference"/>
                <w:b/>
                <w:bCs/>
              </w:rPr>
              <w:footnoteReference w:id="4"/>
            </w:r>
            <w:r>
              <w:t xml:space="preserve"> Amid strong monthly fluctuations, real goods exports fell by 2.6% and imports by 4.6% compared to the previous quarter. Exports to EU Member States, especially to Italy and Austria, were also noticeably lower. The decline in recent months</w:t>
            </w:r>
            <w:r>
              <w:rPr>
                <w:rStyle w:val="FootnoteReference"/>
                <w:rFonts w:eastAsia="Myriad Pro" w:cs="Myriad Pro"/>
                <w:szCs w:val="20"/>
              </w:rPr>
              <w:footnoteReference w:id="5"/>
            </w:r>
            <w:r>
              <w:t xml:space="preserve"> was mainly due to lower exports and imports of intermediate goods, while imports of consumer goods were also lower. Year-on-year, exports and imports in the first quarter of this year were lower (by 1.9% and 4.4% respectively). At the beginning of the second quarter, sentiment in export-oriented activities deteriorated somewhat. Also in the second quarter, companies indicate that the main limiting factors to business operations are related to the uncertain economic situation, low foreign demand and the lack of skilled labour.  </w:t>
            </w:r>
          </w:p>
        </w:tc>
      </w:tr>
    </w:tbl>
    <w:p w14:paraId="0EB975DA" w14:textId="77777777" w:rsidR="004A45C9" w:rsidRDefault="004A45C9" w:rsidP="004A45C9"/>
    <w:p w14:paraId="7BEAF82B" w14:textId="77777777" w:rsidR="004A45C9" w:rsidRDefault="004A45C9" w:rsidP="004A45C9">
      <w:pPr>
        <w:spacing w:after="160" w:line="259" w:lineRule="auto"/>
        <w:jc w:val="left"/>
      </w:pPr>
      <w:r>
        <w:br w:type="page"/>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2106"/>
        <w:gridCol w:w="2551"/>
      </w:tblGrid>
      <w:tr w:rsidR="004A45C9" w:rsidRPr="006C2117" w14:paraId="61C34C22" w14:textId="77777777" w:rsidTr="003C416C">
        <w:trPr>
          <w:trHeight w:val="207"/>
        </w:trPr>
        <w:tc>
          <w:tcPr>
            <w:tcW w:w="7088" w:type="dxa"/>
            <w:gridSpan w:val="2"/>
            <w:tcBorders>
              <w:bottom w:val="single" w:sz="4" w:space="0" w:color="auto"/>
            </w:tcBorders>
            <w:tcMar>
              <w:left w:w="0" w:type="dxa"/>
            </w:tcMar>
          </w:tcPr>
          <w:p w14:paraId="003F90DF" w14:textId="77777777" w:rsidR="004A45C9" w:rsidRPr="006C2117" w:rsidRDefault="004A45C9" w:rsidP="003C416C">
            <w:pPr>
              <w:pStyle w:val="Naslov31"/>
              <w:jc w:val="left"/>
            </w:pPr>
            <w:r>
              <w:lastRenderedPageBreak/>
              <w:t>Value of fiscally verified invoices, in nominal terms, 16–29 April 2023</w:t>
            </w:r>
          </w:p>
        </w:tc>
        <w:tc>
          <w:tcPr>
            <w:tcW w:w="2551" w:type="dxa"/>
            <w:tcBorders>
              <w:bottom w:val="single" w:sz="4" w:space="0" w:color="auto"/>
            </w:tcBorders>
          </w:tcPr>
          <w:p w14:paraId="21A5693F" w14:textId="77777777" w:rsidR="004A45C9" w:rsidRPr="006C2117" w:rsidRDefault="004A45C9" w:rsidP="003C416C">
            <w:pPr>
              <w:pStyle w:val="Naslov31"/>
            </w:pPr>
          </w:p>
        </w:tc>
      </w:tr>
      <w:tr w:rsidR="004A45C9" w:rsidRPr="00916FC4" w14:paraId="52CC54ED" w14:textId="77777777" w:rsidTr="003C416C">
        <w:trPr>
          <w:trHeight w:val="1134"/>
        </w:trPr>
        <w:tc>
          <w:tcPr>
            <w:tcW w:w="4982" w:type="dxa"/>
            <w:tcBorders>
              <w:top w:val="single" w:sz="4" w:space="0" w:color="auto"/>
            </w:tcBorders>
            <w:tcMar>
              <w:left w:w="0" w:type="dxa"/>
            </w:tcMar>
          </w:tcPr>
          <w:p w14:paraId="1C4CB010" w14:textId="5B82C3BC" w:rsidR="004A45C9" w:rsidRDefault="004A45C9" w:rsidP="003C416C">
            <w:pPr>
              <w:pStyle w:val="ListParagraph"/>
              <w:ind w:left="0"/>
            </w:pPr>
            <w:r>
              <w:rPr>
                <w:noProof/>
              </w:rPr>
              <w:drawing>
                <wp:inline distT="0" distB="0" distL="0" distR="0" wp14:anchorId="3A71F546" wp14:editId="429BF8EF">
                  <wp:extent cx="3008376" cy="2459736"/>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8376" cy="2459736"/>
                          </a:xfrm>
                          <a:prstGeom prst="rect">
                            <a:avLst/>
                          </a:prstGeom>
                          <a:noFill/>
                        </pic:spPr>
                      </pic:pic>
                    </a:graphicData>
                  </a:graphic>
                </wp:inline>
              </w:drawing>
            </w:r>
          </w:p>
        </w:tc>
        <w:tc>
          <w:tcPr>
            <w:tcW w:w="4657" w:type="dxa"/>
            <w:gridSpan w:val="2"/>
            <w:tcBorders>
              <w:top w:val="single" w:sz="4" w:space="0" w:color="auto"/>
            </w:tcBorders>
            <w:tcMar>
              <w:left w:w="284" w:type="dxa"/>
            </w:tcMar>
          </w:tcPr>
          <w:p w14:paraId="450B0504" w14:textId="77777777" w:rsidR="004A45C9" w:rsidRPr="00916FC4" w:rsidRDefault="004A45C9" w:rsidP="003C416C">
            <w:pPr>
              <w:rPr>
                <w:rFonts w:eastAsia="Myriad Pro" w:cs="Myriad Pro"/>
                <w:color w:val="DBDBDB" w:themeColor="accent3" w:themeTint="66"/>
              </w:rPr>
            </w:pPr>
            <w:r>
              <w:rPr>
                <w:b/>
                <w:color w:val="000000" w:themeColor="text1"/>
              </w:rPr>
              <w:t xml:space="preserve">With one more working day, the nominal growth in the value of fiscally verified invoices between 16 and 29 April 2023 strengthened to 17%. </w:t>
            </w:r>
            <w:r>
              <w:rPr>
                <w:color w:val="000000" w:themeColor="text1"/>
              </w:rPr>
              <w:t>The fluctuations in year-on-year growth in April were mainly influenced by the timing of the Easter holidays. With one more working day this year, growth in the last 14-day period accelerated in trade (from 3% to 17%), especially in retail trade (from 1% to 12%), which accounted for almost half of the total value of fiscally verified invoices issued. Turnover growth in tourism-related services (accommodation and food service activities, gambling and betting, sports, creative and arts activities) was similar to the previous 14-day period (14% overall).</w:t>
            </w:r>
          </w:p>
        </w:tc>
      </w:tr>
    </w:tbl>
    <w:p w14:paraId="03E2E636" w14:textId="77777777" w:rsidR="004A45C9" w:rsidRDefault="004A45C9" w:rsidP="004A45C9"/>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114"/>
        <w:gridCol w:w="3543"/>
      </w:tblGrid>
      <w:tr w:rsidR="004A45C9" w:rsidRPr="006C2117" w14:paraId="5EED00D8" w14:textId="77777777" w:rsidTr="003C416C">
        <w:trPr>
          <w:trHeight w:val="207"/>
        </w:trPr>
        <w:tc>
          <w:tcPr>
            <w:tcW w:w="6096" w:type="dxa"/>
            <w:gridSpan w:val="2"/>
            <w:tcBorders>
              <w:bottom w:val="single" w:sz="4" w:space="0" w:color="auto"/>
            </w:tcBorders>
            <w:tcMar>
              <w:left w:w="0" w:type="dxa"/>
            </w:tcMar>
          </w:tcPr>
          <w:p w14:paraId="32A65E7D" w14:textId="77777777" w:rsidR="004A45C9" w:rsidRPr="006C2117" w:rsidRDefault="004A45C9" w:rsidP="003C416C">
            <w:pPr>
              <w:pStyle w:val="Naslov31"/>
              <w:jc w:val="left"/>
            </w:pPr>
            <w:r>
              <w:t>Turnover in trade, February–March 2023</w:t>
            </w:r>
          </w:p>
        </w:tc>
        <w:tc>
          <w:tcPr>
            <w:tcW w:w="3543" w:type="dxa"/>
            <w:tcBorders>
              <w:bottom w:val="single" w:sz="4" w:space="0" w:color="auto"/>
            </w:tcBorders>
          </w:tcPr>
          <w:p w14:paraId="3383B615" w14:textId="77777777" w:rsidR="004A45C9" w:rsidRPr="006C2117" w:rsidRDefault="004A45C9" w:rsidP="003C416C">
            <w:pPr>
              <w:pStyle w:val="Naslov31"/>
            </w:pPr>
          </w:p>
        </w:tc>
      </w:tr>
      <w:tr w:rsidR="004A45C9" w:rsidRPr="00DF4F0B" w14:paraId="577C86E9" w14:textId="77777777" w:rsidTr="003C416C">
        <w:trPr>
          <w:trHeight w:val="1134"/>
        </w:trPr>
        <w:tc>
          <w:tcPr>
            <w:tcW w:w="4982" w:type="dxa"/>
            <w:tcBorders>
              <w:top w:val="single" w:sz="4" w:space="0" w:color="auto"/>
            </w:tcBorders>
            <w:tcMar>
              <w:left w:w="0" w:type="dxa"/>
            </w:tcMar>
          </w:tcPr>
          <w:p w14:paraId="454647AB" w14:textId="113B87E3" w:rsidR="004A45C9" w:rsidRDefault="004A45C9" w:rsidP="003C416C">
            <w:pPr>
              <w:pStyle w:val="ListParagraph"/>
              <w:ind w:left="0"/>
            </w:pPr>
            <w:r>
              <w:rPr>
                <w:noProof/>
              </w:rPr>
              <w:drawing>
                <wp:inline distT="0" distB="0" distL="0" distR="0" wp14:anchorId="15B9F1A0" wp14:editId="33D8D29A">
                  <wp:extent cx="3172968" cy="2624328"/>
                  <wp:effectExtent l="0" t="0" r="889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72968" cy="2624328"/>
                          </a:xfrm>
                          <a:prstGeom prst="rect">
                            <a:avLst/>
                          </a:prstGeom>
                          <a:noFill/>
                        </pic:spPr>
                      </pic:pic>
                    </a:graphicData>
                  </a:graphic>
                </wp:inline>
              </w:drawing>
            </w:r>
          </w:p>
        </w:tc>
        <w:tc>
          <w:tcPr>
            <w:tcW w:w="4657" w:type="dxa"/>
            <w:gridSpan w:val="2"/>
            <w:tcBorders>
              <w:top w:val="single" w:sz="4" w:space="0" w:color="auto"/>
            </w:tcBorders>
            <w:tcMar>
              <w:left w:w="284" w:type="dxa"/>
            </w:tcMar>
          </w:tcPr>
          <w:p w14:paraId="343845DC" w14:textId="77777777" w:rsidR="004A45C9" w:rsidRDefault="004A45C9" w:rsidP="003C416C">
            <w:pPr>
              <w:rPr>
                <w:color w:val="000000"/>
                <w:shd w:val="clear" w:color="auto" w:fill="FFFFFF"/>
              </w:rPr>
            </w:pPr>
            <w:r>
              <w:rPr>
                <w:rStyle w:val="normaltextrun"/>
                <w:b/>
                <w:color w:val="000000" w:themeColor="text1"/>
              </w:rPr>
              <w:t xml:space="preserve">Real turnover in most trade sectors fell further in February and, according to preliminary data, also in March. </w:t>
            </w:r>
            <w:r>
              <w:t xml:space="preserve">With the February decline, turnover was also down year-on-year – by about 5% in </w:t>
            </w:r>
            <w:r>
              <w:rPr>
                <w:i/>
                <w:iCs/>
              </w:rPr>
              <w:t>wholesale trade</w:t>
            </w:r>
            <w:r>
              <w:t xml:space="preserve"> and in </w:t>
            </w:r>
            <w:r>
              <w:rPr>
                <w:i/>
                <w:iCs/>
              </w:rPr>
              <w:t>retail sale of food, beverages and tobacco</w:t>
            </w:r>
            <w:r>
              <w:t xml:space="preserve"> and by 3% in </w:t>
            </w:r>
            <w:r>
              <w:rPr>
                <w:i/>
                <w:iCs/>
              </w:rPr>
              <w:t>retail sale of non-food products</w:t>
            </w:r>
            <w:r>
              <w:t>.</w:t>
            </w:r>
            <w:r>
              <w:rPr>
                <w:i/>
                <w:color w:val="000000"/>
                <w:shd w:val="clear" w:color="auto" w:fill="FFFFFF"/>
              </w:rPr>
              <w:t xml:space="preserve"> </w:t>
            </w:r>
            <w:r>
              <w:t>After a significant monthly increase in the previous two months, turnover in the</w:t>
            </w:r>
            <w:r>
              <w:rPr>
                <w:i/>
                <w:iCs/>
              </w:rPr>
              <w:t xml:space="preserve"> sale of motor vehicles</w:t>
            </w:r>
            <w:r>
              <w:t xml:space="preserve"> also fell slightly, but was one tenth higher year-on-year due to the low base related to vehicle supply disruptions last year.</w:t>
            </w:r>
            <w:r>
              <w:rPr>
                <w:rStyle w:val="normaltextrun"/>
                <w:color w:val="000000"/>
                <w:shd w:val="clear" w:color="auto" w:fill="FFFFFF"/>
              </w:rPr>
              <w:t xml:space="preserve"> </w:t>
            </w:r>
            <w:r>
              <w:rPr>
                <w:rStyle w:val="normaltextrun"/>
                <w:color w:val="000000" w:themeColor="text1"/>
              </w:rPr>
              <w:t>According to preliminary SURS data, turnover in retail sale of food, beverages and tobacco and non-food products further declined in March, while turnover in the sale of motor vehicles increased again.</w:t>
            </w:r>
          </w:p>
          <w:p w14:paraId="6DDCE17C" w14:textId="77777777" w:rsidR="004A45C9" w:rsidRDefault="004A45C9" w:rsidP="003C416C">
            <w:pPr>
              <w:rPr>
                <w:iCs/>
                <w:color w:val="000000"/>
                <w:shd w:val="clear" w:color="auto" w:fill="FFFFFF"/>
              </w:rPr>
            </w:pPr>
          </w:p>
          <w:p w14:paraId="4DC346B6" w14:textId="77777777" w:rsidR="004A45C9" w:rsidRPr="00DF4F0B" w:rsidRDefault="004A45C9" w:rsidP="003C416C"/>
        </w:tc>
      </w:tr>
    </w:tbl>
    <w:p w14:paraId="5F508DD5" w14:textId="77777777" w:rsidR="004A45C9" w:rsidRDefault="004A45C9" w:rsidP="004A45C9">
      <w:pPr>
        <w:spacing w:after="160" w:line="259" w:lineRule="auto"/>
        <w:jc w:val="left"/>
      </w:pPr>
    </w:p>
    <w:p w14:paraId="305E0184" w14:textId="77777777" w:rsidR="004A45C9" w:rsidRDefault="004A45C9" w:rsidP="004A45C9">
      <w:pPr>
        <w:spacing w:after="160" w:line="259" w:lineRule="auto"/>
        <w:jc w:val="left"/>
      </w:pPr>
      <w:r>
        <w:br w:type="page"/>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114"/>
        <w:gridCol w:w="3543"/>
      </w:tblGrid>
      <w:tr w:rsidR="004A45C9" w:rsidRPr="006C2117" w14:paraId="6FE4BB9D" w14:textId="77777777" w:rsidTr="003C416C">
        <w:trPr>
          <w:trHeight w:val="207"/>
        </w:trPr>
        <w:tc>
          <w:tcPr>
            <w:tcW w:w="6096" w:type="dxa"/>
            <w:gridSpan w:val="2"/>
            <w:tcBorders>
              <w:bottom w:val="single" w:sz="4" w:space="0" w:color="auto"/>
            </w:tcBorders>
            <w:tcMar>
              <w:left w:w="0" w:type="dxa"/>
            </w:tcMar>
          </w:tcPr>
          <w:p w14:paraId="216CF654" w14:textId="77777777" w:rsidR="004A45C9" w:rsidRPr="006C2117" w:rsidRDefault="004A45C9" w:rsidP="003C416C">
            <w:pPr>
              <w:pStyle w:val="Naslov31"/>
              <w:jc w:val="left"/>
            </w:pPr>
            <w:r>
              <w:lastRenderedPageBreak/>
              <w:t>Turnover in market services, February 2023</w:t>
            </w:r>
          </w:p>
        </w:tc>
        <w:tc>
          <w:tcPr>
            <w:tcW w:w="3543" w:type="dxa"/>
            <w:tcBorders>
              <w:bottom w:val="single" w:sz="4" w:space="0" w:color="auto"/>
            </w:tcBorders>
          </w:tcPr>
          <w:p w14:paraId="6C32B208" w14:textId="77777777" w:rsidR="004A45C9" w:rsidRPr="006C2117" w:rsidRDefault="004A45C9" w:rsidP="003C416C">
            <w:pPr>
              <w:pStyle w:val="Naslov31"/>
            </w:pPr>
          </w:p>
        </w:tc>
      </w:tr>
      <w:tr w:rsidR="004A45C9" w:rsidRPr="00DF4F0B" w14:paraId="3C117282" w14:textId="77777777" w:rsidTr="003C416C">
        <w:trPr>
          <w:trHeight w:val="1134"/>
        </w:trPr>
        <w:tc>
          <w:tcPr>
            <w:tcW w:w="4982" w:type="dxa"/>
            <w:tcBorders>
              <w:top w:val="single" w:sz="4" w:space="0" w:color="auto"/>
            </w:tcBorders>
            <w:tcMar>
              <w:left w:w="0" w:type="dxa"/>
            </w:tcMar>
          </w:tcPr>
          <w:p w14:paraId="34FE66A7" w14:textId="782A2A63" w:rsidR="004A45C9" w:rsidRDefault="004A45C9" w:rsidP="003C416C">
            <w:pPr>
              <w:pStyle w:val="ListParagraph"/>
              <w:ind w:left="0"/>
            </w:pPr>
            <w:r>
              <w:rPr>
                <w:noProof/>
              </w:rPr>
              <w:drawing>
                <wp:inline distT="0" distB="0" distL="0" distR="0" wp14:anchorId="5BA5CCAF" wp14:editId="04A91BD8">
                  <wp:extent cx="3182112" cy="231343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2112" cy="2313432"/>
                          </a:xfrm>
                          <a:prstGeom prst="rect">
                            <a:avLst/>
                          </a:prstGeom>
                          <a:noFill/>
                        </pic:spPr>
                      </pic:pic>
                    </a:graphicData>
                  </a:graphic>
                </wp:inline>
              </w:drawing>
            </w:r>
          </w:p>
        </w:tc>
        <w:tc>
          <w:tcPr>
            <w:tcW w:w="4657" w:type="dxa"/>
            <w:gridSpan w:val="2"/>
            <w:tcBorders>
              <w:top w:val="single" w:sz="4" w:space="0" w:color="auto"/>
            </w:tcBorders>
            <w:tcMar>
              <w:left w:w="284" w:type="dxa"/>
            </w:tcMar>
          </w:tcPr>
          <w:p w14:paraId="1EB4EECF" w14:textId="77777777" w:rsidR="004A45C9" w:rsidRDefault="004A45C9" w:rsidP="003C416C">
            <w:pPr>
              <w:autoSpaceDE w:val="0"/>
              <w:autoSpaceDN w:val="0"/>
              <w:adjustRightInd w:val="0"/>
              <w:spacing w:line="240" w:lineRule="auto"/>
            </w:pPr>
            <w:r>
              <w:rPr>
                <w:b/>
              </w:rPr>
              <w:t>Real turnover growth in market services continued in February.</w:t>
            </w:r>
            <w:r>
              <w:t xml:space="preserve"> After a recovery at the beginning of the year, total turnover in market services increased by a further 0.9% in current terms. High growth continued in professional and technical activities, with strong turnover growth in architectural and engineering services. Turnover growth in information and communication activities slowed down after recording a significant increase in January. Turnover in administrative and support service activities maintained its high end-2022 level. After high growth in previous months, turnover in accommodation and food service activities decreased. It also continued to decline in transportation and storage (especially in warehousing and storage).</w:t>
            </w:r>
            <w:r>
              <w:rPr>
                <w:color w:val="000000" w:themeColor="text1"/>
              </w:rPr>
              <w:t xml:space="preserve"> </w:t>
            </w:r>
            <w:r>
              <w:t>In February, total turnover in market services was 5.7% higher in real terms year-on-year. It was higher in most market service activities, except in transportation and storage and real estate activities. Only turnover in administrative and support service activities and employment agencies was still below pre-epidemic levels (compared to February 2019), in the latter by 31%.</w:t>
            </w:r>
          </w:p>
          <w:p w14:paraId="1E3A4262" w14:textId="77777777" w:rsidR="004A45C9" w:rsidRPr="00DF4F0B" w:rsidRDefault="004A45C9" w:rsidP="003C416C">
            <w:pPr>
              <w:autoSpaceDE w:val="0"/>
              <w:autoSpaceDN w:val="0"/>
              <w:adjustRightInd w:val="0"/>
              <w:spacing w:line="240" w:lineRule="auto"/>
            </w:pPr>
          </w:p>
        </w:tc>
      </w:tr>
    </w:tbl>
    <w:p w14:paraId="217B1B62" w14:textId="77777777" w:rsidR="0067369C" w:rsidRDefault="0067369C" w:rsidP="0067369C">
      <w:pPr>
        <w:spacing w:after="160" w:line="259" w:lineRule="auto"/>
        <w:jc w:val="left"/>
      </w:pPr>
    </w:p>
    <w:p w14:paraId="22475C0D" w14:textId="36045D7D" w:rsidR="00FE7254" w:rsidRPr="00FE7254" w:rsidRDefault="00FE7254" w:rsidP="001C5031">
      <w:pPr>
        <w:spacing w:after="160" w:line="259" w:lineRule="auto"/>
        <w:jc w:val="left"/>
        <w:sectPr w:rsidR="00FE7254" w:rsidRPr="00FE7254" w:rsidSect="00363E63">
          <w:footerReference w:type="default" r:id="rId16"/>
          <w:headerReference w:type="first" r:id="rId17"/>
          <w:footerReference w:type="first" r:id="rId18"/>
          <w:type w:val="continuous"/>
          <w:pgSz w:w="11906" w:h="16838"/>
          <w:pgMar w:top="1134" w:right="1134" w:bottom="1021" w:left="1134" w:header="709" w:footer="397" w:gutter="0"/>
          <w:cols w:space="708"/>
          <w:titlePg/>
          <w:docGrid w:linePitch="360"/>
        </w:sectPr>
      </w:pPr>
    </w:p>
    <w:p w14:paraId="26A312A6" w14:textId="4F8451AA" w:rsidR="002E69B6" w:rsidRPr="00887D7E" w:rsidRDefault="00757EBD" w:rsidP="00C26C8D">
      <w:pPr>
        <w:tabs>
          <w:tab w:val="left" w:pos="580"/>
        </w:tabs>
      </w:pPr>
      <w:r w:rsidRPr="00757EBD">
        <w:rPr>
          <w:noProof/>
        </w:rPr>
        <w:lastRenderedPageBreak/>
        <w:drawing>
          <wp:inline distT="0" distB="0" distL="0" distR="0" wp14:anchorId="252B8D8F" wp14:editId="70BCEC05">
            <wp:extent cx="6120130" cy="859663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20130" cy="8596630"/>
                    </a:xfrm>
                    <a:prstGeom prst="rect">
                      <a:avLst/>
                    </a:prstGeom>
                    <a:noFill/>
                    <a:ln>
                      <a:noFill/>
                    </a:ln>
                  </pic:spPr>
                </pic:pic>
              </a:graphicData>
            </a:graphic>
          </wp:inline>
        </w:drawing>
      </w:r>
    </w:p>
    <w:sectPr w:rsidR="002E69B6" w:rsidRPr="00887D7E" w:rsidSect="00363E63">
      <w:headerReference w:type="default" r:id="rId20"/>
      <w:footerReference w:type="default" r:id="rId21"/>
      <w:pgSz w:w="11906" w:h="16838"/>
      <w:pgMar w:top="1134" w:right="1134" w:bottom="1021"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7B969" w14:textId="77777777" w:rsidR="00792C0D" w:rsidRDefault="00792C0D" w:rsidP="0063497B">
      <w:pPr>
        <w:spacing w:line="240" w:lineRule="auto"/>
      </w:pPr>
      <w:r>
        <w:separator/>
      </w:r>
    </w:p>
  </w:endnote>
  <w:endnote w:type="continuationSeparator" w:id="0">
    <w:p w14:paraId="3E3F470E" w14:textId="77777777" w:rsidR="00792C0D" w:rsidRDefault="00792C0D" w:rsidP="0063497B">
      <w:pPr>
        <w:spacing w:line="240" w:lineRule="auto"/>
      </w:pPr>
      <w:r>
        <w:continuationSeparator/>
      </w:r>
    </w:p>
  </w:endnote>
  <w:endnote w:type="continuationNotice" w:id="1">
    <w:p w14:paraId="351D3BDE" w14:textId="77777777" w:rsidR="00792C0D" w:rsidRDefault="00792C0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8242D" w14:textId="76E87739" w:rsidR="000D53A2" w:rsidRPr="00363E63" w:rsidRDefault="000D53A2"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yperlink"/>
          <w:b w:val="0"/>
          <w:color w:val="auto"/>
          <w:sz w:val="18"/>
          <w:u w:val="none"/>
        </w:rPr>
        <w:t>polona.osrajnik@gov.si</w:t>
      </w:r>
    </w:hyperlink>
    <w:r>
      <w:rPr>
        <w:b w:val="0"/>
        <w:sz w:val="18"/>
      </w:rPr>
      <w:tab/>
    </w:r>
    <w:r>
      <w:rPr>
        <w:sz w:val="18"/>
      </w:rPr>
      <w:t xml:space="preserve"> </w:t>
    </w:r>
    <w:sdt>
      <w:sdtPr>
        <w:rPr>
          <w:sz w:val="18"/>
          <w:szCs w:val="18"/>
        </w:rPr>
        <w:id w:val="-652685202"/>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sidR="0078345B">
          <w:rPr>
            <w:noProof/>
            <w:sz w:val="18"/>
          </w:rPr>
          <w:t>2</w:t>
        </w:r>
        <w:r w:rsidRPr="00363E63">
          <w:rPr>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29913" w14:textId="26AE332E" w:rsidR="000D53A2" w:rsidRPr="00363E63" w:rsidRDefault="000D53A2"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yperlink"/>
          <w:b w:val="0"/>
          <w:color w:val="auto"/>
          <w:sz w:val="18"/>
          <w:u w:val="none"/>
        </w:rPr>
        <w:t>polona.osrajnik@gov.si</w:t>
      </w:r>
    </w:hyperlink>
    <w:r>
      <w:rPr>
        <w:b w:val="0"/>
        <w:sz w:val="18"/>
      </w:rPr>
      <w:tab/>
    </w:r>
    <w:r>
      <w:rPr>
        <w:sz w:val="18"/>
      </w:rPr>
      <w:t xml:space="preserve"> </w:t>
    </w:r>
    <w:sdt>
      <w:sdtPr>
        <w:rPr>
          <w:sz w:val="18"/>
          <w:szCs w:val="18"/>
        </w:rPr>
        <w:id w:val="-89402759"/>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sidR="0078345B">
          <w:rPr>
            <w:noProof/>
            <w:sz w:val="18"/>
          </w:rPr>
          <w:t>1</w:t>
        </w:r>
        <w:r w:rsidRPr="00363E63">
          <w:rPr>
            <w:sz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DBB8D" w14:textId="77777777" w:rsidR="000D53A2" w:rsidRPr="00C26C8D" w:rsidRDefault="000D53A2" w:rsidP="00C26C8D">
    <w:pPr>
      <w:pStyle w:val="Naslov31"/>
      <w:tabs>
        <w:tab w:val="right" w:pos="9638"/>
      </w:tabs>
      <w:jc w:val="left"/>
      <w:rPr>
        <w:b w:val="0"/>
        <w:sz w:val="18"/>
        <w:szCs w:val="18"/>
      </w:rPr>
    </w:pPr>
    <w:r>
      <w:rPr>
        <w:b w:val="0"/>
        <w:sz w:val="18"/>
      </w:rPr>
      <w:t>The table format accessible to screen reader users can be found on the IMAD website among the appendices to the current graphs of the week (Selected macroeconomic indicators for Slovenia).</w:t>
    </w:r>
  </w:p>
  <w:p w14:paraId="67C0D3BB" w14:textId="77777777" w:rsidR="000D53A2" w:rsidRPr="00C26C8D" w:rsidRDefault="000D53A2" w:rsidP="00C26C8D">
    <w:pPr>
      <w:pStyle w:val="Naslov31"/>
      <w:tabs>
        <w:tab w:val="right" w:pos="9638"/>
      </w:tabs>
      <w:jc w:val="left"/>
      <w:rPr>
        <w:b w:val="0"/>
        <w:sz w:val="18"/>
        <w:szCs w:val="18"/>
      </w:rPr>
    </w:pPr>
  </w:p>
  <w:p w14:paraId="6B87A005" w14:textId="77777777" w:rsidR="000D53A2" w:rsidRPr="00363E63" w:rsidRDefault="000D53A2" w:rsidP="00C26C8D">
    <w:pPr>
      <w:pStyle w:val="Naslov31"/>
      <w:tabs>
        <w:tab w:val="right" w:pos="9638"/>
      </w:tabs>
      <w:jc w:val="left"/>
      <w:rPr>
        <w:b w:val="0"/>
        <w:sz w:val="18"/>
        <w:szCs w:val="18"/>
      </w:rPr>
    </w:pPr>
    <w:r>
      <w:rPr>
        <w:sz w:val="18"/>
      </w:rPr>
      <w:t xml:space="preserve">More information: </w:t>
    </w:r>
    <w:r>
      <w:rPr>
        <w:b w:val="0"/>
        <w:sz w:val="18"/>
      </w:rPr>
      <w:t>phone: +386 1 478 10 04, e-mail: polona.osrajnik@gov.si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FD562" w14:textId="77777777" w:rsidR="00792C0D" w:rsidRDefault="00792C0D" w:rsidP="0063497B">
      <w:pPr>
        <w:spacing w:line="240" w:lineRule="auto"/>
      </w:pPr>
      <w:r>
        <w:separator/>
      </w:r>
    </w:p>
  </w:footnote>
  <w:footnote w:type="continuationSeparator" w:id="0">
    <w:p w14:paraId="355A04FF" w14:textId="77777777" w:rsidR="00792C0D" w:rsidRDefault="00792C0D" w:rsidP="0063497B">
      <w:pPr>
        <w:spacing w:line="240" w:lineRule="auto"/>
      </w:pPr>
      <w:r>
        <w:continuationSeparator/>
      </w:r>
    </w:p>
  </w:footnote>
  <w:footnote w:type="continuationNotice" w:id="1">
    <w:p w14:paraId="628B1213" w14:textId="77777777" w:rsidR="00792C0D" w:rsidRDefault="00792C0D">
      <w:pPr>
        <w:spacing w:line="240" w:lineRule="auto"/>
      </w:pPr>
    </w:p>
  </w:footnote>
  <w:footnote w:id="2">
    <w:p w14:paraId="3FFFB17D" w14:textId="77777777" w:rsidR="004A45C9" w:rsidRDefault="004A45C9" w:rsidP="004A45C9">
      <w:pPr>
        <w:pStyle w:val="FootnoteText"/>
      </w:pPr>
      <w:r>
        <w:rPr>
          <w:rStyle w:val="FootnoteReference"/>
        </w:rPr>
        <w:footnoteRef/>
      </w:r>
      <w:r>
        <w:t xml:space="preserve"> Eurostat data for February and March are still preliminary for most countries.</w:t>
      </w:r>
    </w:p>
  </w:footnote>
  <w:footnote w:id="3">
    <w:p w14:paraId="4F48E7F1" w14:textId="77777777" w:rsidR="004A45C9" w:rsidRDefault="004A45C9" w:rsidP="004A45C9">
      <w:pPr>
        <w:pStyle w:val="FootnoteText"/>
      </w:pPr>
      <w:r>
        <w:rPr>
          <w:rStyle w:val="FootnoteReference"/>
        </w:rPr>
        <w:footnoteRef/>
      </w:r>
      <w:r>
        <w:t xml:space="preserve"> For the period from 1 April 2023 until 31 March 2024.</w:t>
      </w:r>
    </w:p>
  </w:footnote>
  <w:footnote w:id="4">
    <w:p w14:paraId="3AF6F918" w14:textId="77777777" w:rsidR="004A45C9" w:rsidRDefault="004A45C9" w:rsidP="004A45C9">
      <w:pPr>
        <w:pStyle w:val="FootnoteText"/>
      </w:pPr>
      <w:r>
        <w:rPr>
          <w:rStyle w:val="FootnoteReference"/>
        </w:rPr>
        <w:footnoteRef/>
      </w:r>
      <w:r>
        <w:t xml:space="preserve"> According to the external trade statistics by SURS. Deflation and seasonal adjustment by IMAD. Total exports and imports adjusted for the estimate of goods processing in connection with the trade in pharmaceutical products with Switzerland.</w:t>
      </w:r>
    </w:p>
  </w:footnote>
  <w:footnote w:id="5">
    <w:p w14:paraId="2FBEE0D1" w14:textId="77777777" w:rsidR="004A45C9" w:rsidRDefault="004A45C9" w:rsidP="004A45C9">
      <w:pPr>
        <w:pStyle w:val="FootnoteText"/>
      </w:pPr>
      <w:r>
        <w:rPr>
          <w:rStyle w:val="FootnoteReference"/>
        </w:rPr>
        <w:footnoteRef/>
      </w:r>
      <w:r>
        <w:t xml:space="preserve"> Detailed data on foreign trade are available until February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0A66C" w14:textId="15A15029" w:rsidR="000D53A2" w:rsidRDefault="000D53A2" w:rsidP="00652795">
    <w:pPr>
      <w:jc w:val="right"/>
    </w:pPr>
    <w:r>
      <w:rPr>
        <w:noProof/>
        <w:lang w:val="sl-SI" w:eastAsia="sl-SI"/>
      </w:rPr>
      <w:drawing>
        <wp:anchor distT="0" distB="0" distL="114300" distR="114300" simplePos="0" relativeHeight="251658240" behindDoc="0" locked="0" layoutInCell="1" allowOverlap="1" wp14:anchorId="254C5F65" wp14:editId="48ED07FB">
          <wp:simplePos x="0" y="0"/>
          <wp:positionH relativeFrom="column">
            <wp:posOffset>-313690</wp:posOffset>
          </wp:positionH>
          <wp:positionV relativeFrom="paragraph">
            <wp:posOffset>60960</wp:posOffset>
          </wp:positionV>
          <wp:extent cx="1155700" cy="1002030"/>
          <wp:effectExtent l="0" t="0" r="6350" b="762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MAR logo"/>
                  <pic:cNvPicPr/>
                </pic:nvPicPr>
                <pic:blipFill>
                  <a:blip r:embed="rId1">
                    <a:extLst>
                      <a:ext uri="{28A0092B-C50C-407E-A947-70E740481C1C}">
                        <a14:useLocalDpi xmlns:a14="http://schemas.microsoft.com/office/drawing/2010/main" val="0"/>
                      </a:ext>
                    </a:extLst>
                  </a:blip>
                  <a:stretch>
                    <a:fillRect/>
                  </a:stretch>
                </pic:blipFill>
                <pic:spPr>
                  <a:xfrm>
                    <a:off x="0" y="0"/>
                    <a:ext cx="1155700" cy="1002030"/>
                  </a:xfrm>
                  <a:prstGeom prst="rect">
                    <a:avLst/>
                  </a:prstGeom>
                </pic:spPr>
              </pic:pic>
            </a:graphicData>
          </a:graphic>
          <wp14:sizeRelH relativeFrom="margin">
            <wp14:pctWidth>0</wp14:pctWidth>
          </wp14:sizeRelH>
          <wp14:sizeRelV relativeFrom="margin">
            <wp14:pctHeight>0</wp14:pctHeight>
          </wp14:sizeRelV>
        </wp:anchor>
      </w:drawing>
    </w:r>
    <w:r w:rsidR="004A45C9">
      <w:t>8 May</w:t>
    </w:r>
    <w:r>
      <w:t xml:space="preserve"> 2023</w:t>
    </w:r>
  </w:p>
  <w:p w14:paraId="4BCD6FCD" w14:textId="77777777" w:rsidR="000D53A2" w:rsidRDefault="000D53A2" w:rsidP="00FE7254">
    <w:pPr>
      <w:jc w:val="right"/>
    </w:pPr>
  </w:p>
  <w:p w14:paraId="2346E65D" w14:textId="77777777" w:rsidR="000D53A2" w:rsidRDefault="000D53A2" w:rsidP="00FE7254">
    <w:pPr>
      <w:jc w:val="right"/>
    </w:pPr>
  </w:p>
  <w:p w14:paraId="72003DEC" w14:textId="77777777" w:rsidR="000D53A2" w:rsidRDefault="000D53A2" w:rsidP="00FE7254">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0F943" w14:textId="77777777" w:rsidR="000D53A2" w:rsidRPr="00C26C8D" w:rsidRDefault="000D53A2" w:rsidP="00C26C8D">
    <w:pPr>
      <w:pStyle w:val="Header"/>
      <w:rPr>
        <w:b/>
      </w:rPr>
    </w:pPr>
    <w:r>
      <w:rPr>
        <w:b/>
      </w:rPr>
      <w:t>Table: Selected macroeconomic indicators for Slovenia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54D5F"/>
    <w:multiLevelType w:val="hybridMultilevel"/>
    <w:tmpl w:val="20862290"/>
    <w:lvl w:ilvl="0" w:tplc="63DA2180">
      <w:start w:val="1"/>
      <w:numFmt w:val="bullet"/>
      <w:pStyle w:val="Besedilomanjealineje"/>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B2C16DD"/>
    <w:multiLevelType w:val="hybridMultilevel"/>
    <w:tmpl w:val="56B4C2AA"/>
    <w:lvl w:ilvl="0" w:tplc="B0B23E72">
      <w:start w:val="1"/>
      <w:numFmt w:val="bullet"/>
      <w:lvlText w:val=""/>
      <w:lvlJc w:val="left"/>
      <w:pPr>
        <w:tabs>
          <w:tab w:val="num" w:pos="720"/>
        </w:tabs>
        <w:ind w:left="720" w:hanging="360"/>
      </w:pPr>
      <w:rPr>
        <w:rFonts w:ascii="Symbol" w:hAnsi="Symbol" w:hint="default"/>
      </w:rPr>
    </w:lvl>
    <w:lvl w:ilvl="1" w:tplc="A6BC04BE" w:tentative="1">
      <w:start w:val="1"/>
      <w:numFmt w:val="bullet"/>
      <w:lvlText w:val=""/>
      <w:lvlJc w:val="left"/>
      <w:pPr>
        <w:tabs>
          <w:tab w:val="num" w:pos="1440"/>
        </w:tabs>
        <w:ind w:left="1440" w:hanging="360"/>
      </w:pPr>
      <w:rPr>
        <w:rFonts w:ascii="Symbol" w:hAnsi="Symbol" w:hint="default"/>
      </w:rPr>
    </w:lvl>
    <w:lvl w:ilvl="2" w:tplc="3EA8379E" w:tentative="1">
      <w:start w:val="1"/>
      <w:numFmt w:val="bullet"/>
      <w:lvlText w:val=""/>
      <w:lvlJc w:val="left"/>
      <w:pPr>
        <w:tabs>
          <w:tab w:val="num" w:pos="2160"/>
        </w:tabs>
        <w:ind w:left="2160" w:hanging="360"/>
      </w:pPr>
      <w:rPr>
        <w:rFonts w:ascii="Symbol" w:hAnsi="Symbol" w:hint="default"/>
      </w:rPr>
    </w:lvl>
    <w:lvl w:ilvl="3" w:tplc="003E917A" w:tentative="1">
      <w:start w:val="1"/>
      <w:numFmt w:val="bullet"/>
      <w:lvlText w:val=""/>
      <w:lvlJc w:val="left"/>
      <w:pPr>
        <w:tabs>
          <w:tab w:val="num" w:pos="2880"/>
        </w:tabs>
        <w:ind w:left="2880" w:hanging="360"/>
      </w:pPr>
      <w:rPr>
        <w:rFonts w:ascii="Symbol" w:hAnsi="Symbol" w:hint="default"/>
      </w:rPr>
    </w:lvl>
    <w:lvl w:ilvl="4" w:tplc="7AD01B9C" w:tentative="1">
      <w:start w:val="1"/>
      <w:numFmt w:val="bullet"/>
      <w:lvlText w:val=""/>
      <w:lvlJc w:val="left"/>
      <w:pPr>
        <w:tabs>
          <w:tab w:val="num" w:pos="3600"/>
        </w:tabs>
        <w:ind w:left="3600" w:hanging="360"/>
      </w:pPr>
      <w:rPr>
        <w:rFonts w:ascii="Symbol" w:hAnsi="Symbol" w:hint="default"/>
      </w:rPr>
    </w:lvl>
    <w:lvl w:ilvl="5" w:tplc="AA26F350" w:tentative="1">
      <w:start w:val="1"/>
      <w:numFmt w:val="bullet"/>
      <w:lvlText w:val=""/>
      <w:lvlJc w:val="left"/>
      <w:pPr>
        <w:tabs>
          <w:tab w:val="num" w:pos="4320"/>
        </w:tabs>
        <w:ind w:left="4320" w:hanging="360"/>
      </w:pPr>
      <w:rPr>
        <w:rFonts w:ascii="Symbol" w:hAnsi="Symbol" w:hint="default"/>
      </w:rPr>
    </w:lvl>
    <w:lvl w:ilvl="6" w:tplc="0DE0C0C2" w:tentative="1">
      <w:start w:val="1"/>
      <w:numFmt w:val="bullet"/>
      <w:lvlText w:val=""/>
      <w:lvlJc w:val="left"/>
      <w:pPr>
        <w:tabs>
          <w:tab w:val="num" w:pos="5040"/>
        </w:tabs>
        <w:ind w:left="5040" w:hanging="360"/>
      </w:pPr>
      <w:rPr>
        <w:rFonts w:ascii="Symbol" w:hAnsi="Symbol" w:hint="default"/>
      </w:rPr>
    </w:lvl>
    <w:lvl w:ilvl="7" w:tplc="73E484B2" w:tentative="1">
      <w:start w:val="1"/>
      <w:numFmt w:val="bullet"/>
      <w:lvlText w:val=""/>
      <w:lvlJc w:val="left"/>
      <w:pPr>
        <w:tabs>
          <w:tab w:val="num" w:pos="5760"/>
        </w:tabs>
        <w:ind w:left="5760" w:hanging="360"/>
      </w:pPr>
      <w:rPr>
        <w:rFonts w:ascii="Symbol" w:hAnsi="Symbol" w:hint="default"/>
      </w:rPr>
    </w:lvl>
    <w:lvl w:ilvl="8" w:tplc="4094F1A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defaultTabStop w:val="170"/>
  <w:hyphenationZone w:val="425"/>
  <w:drawingGridHorizontalSpacing w:val="4933"/>
  <w:drawingGridVerticalSpacing w:val="3118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C57"/>
    <w:rsid w:val="00000E2B"/>
    <w:rsid w:val="00001002"/>
    <w:rsid w:val="0000470D"/>
    <w:rsid w:val="00004D56"/>
    <w:rsid w:val="00005079"/>
    <w:rsid w:val="00005E4B"/>
    <w:rsid w:val="000075AF"/>
    <w:rsid w:val="000108CA"/>
    <w:rsid w:val="000110FF"/>
    <w:rsid w:val="00011C08"/>
    <w:rsid w:val="000123FA"/>
    <w:rsid w:val="00013635"/>
    <w:rsid w:val="00014959"/>
    <w:rsid w:val="00014A64"/>
    <w:rsid w:val="00015C15"/>
    <w:rsid w:val="00016923"/>
    <w:rsid w:val="0001738D"/>
    <w:rsid w:val="000202D9"/>
    <w:rsid w:val="00020594"/>
    <w:rsid w:val="00022B34"/>
    <w:rsid w:val="000238C0"/>
    <w:rsid w:val="0002391A"/>
    <w:rsid w:val="000241BE"/>
    <w:rsid w:val="000242B6"/>
    <w:rsid w:val="00024412"/>
    <w:rsid w:val="00024C2B"/>
    <w:rsid w:val="00024EF0"/>
    <w:rsid w:val="000257A3"/>
    <w:rsid w:val="00025C03"/>
    <w:rsid w:val="00025C1C"/>
    <w:rsid w:val="00026AAA"/>
    <w:rsid w:val="000328C3"/>
    <w:rsid w:val="0003301E"/>
    <w:rsid w:val="00033A1D"/>
    <w:rsid w:val="000407E8"/>
    <w:rsid w:val="00041021"/>
    <w:rsid w:val="0004116E"/>
    <w:rsid w:val="00041EFE"/>
    <w:rsid w:val="00043B69"/>
    <w:rsid w:val="0004410D"/>
    <w:rsid w:val="0004498A"/>
    <w:rsid w:val="00045703"/>
    <w:rsid w:val="00045B52"/>
    <w:rsid w:val="00051AF3"/>
    <w:rsid w:val="00052A59"/>
    <w:rsid w:val="00052B28"/>
    <w:rsid w:val="0005322C"/>
    <w:rsid w:val="00053417"/>
    <w:rsid w:val="00053770"/>
    <w:rsid w:val="00054458"/>
    <w:rsid w:val="00054E25"/>
    <w:rsid w:val="00055385"/>
    <w:rsid w:val="00055BD4"/>
    <w:rsid w:val="0006047B"/>
    <w:rsid w:val="0006076B"/>
    <w:rsid w:val="00061F03"/>
    <w:rsid w:val="00062E0D"/>
    <w:rsid w:val="0006389B"/>
    <w:rsid w:val="00064344"/>
    <w:rsid w:val="00064E87"/>
    <w:rsid w:val="0006523A"/>
    <w:rsid w:val="00065B72"/>
    <w:rsid w:val="00066060"/>
    <w:rsid w:val="00070313"/>
    <w:rsid w:val="000703C7"/>
    <w:rsid w:val="00070B6E"/>
    <w:rsid w:val="00070D90"/>
    <w:rsid w:val="00071970"/>
    <w:rsid w:val="000725CF"/>
    <w:rsid w:val="00073C2B"/>
    <w:rsid w:val="000759D7"/>
    <w:rsid w:val="0007794F"/>
    <w:rsid w:val="00077F13"/>
    <w:rsid w:val="00080283"/>
    <w:rsid w:val="000802F5"/>
    <w:rsid w:val="000821D1"/>
    <w:rsid w:val="00082DA5"/>
    <w:rsid w:val="00083A5C"/>
    <w:rsid w:val="00083B7F"/>
    <w:rsid w:val="00087E6A"/>
    <w:rsid w:val="000921F2"/>
    <w:rsid w:val="00092592"/>
    <w:rsid w:val="000943AF"/>
    <w:rsid w:val="00095F2A"/>
    <w:rsid w:val="00096101"/>
    <w:rsid w:val="000969E6"/>
    <w:rsid w:val="000973AE"/>
    <w:rsid w:val="00097DD5"/>
    <w:rsid w:val="000A015C"/>
    <w:rsid w:val="000A0243"/>
    <w:rsid w:val="000A56B4"/>
    <w:rsid w:val="000A5A42"/>
    <w:rsid w:val="000A7BDC"/>
    <w:rsid w:val="000B16C0"/>
    <w:rsid w:val="000B2332"/>
    <w:rsid w:val="000B2627"/>
    <w:rsid w:val="000B5B96"/>
    <w:rsid w:val="000B7036"/>
    <w:rsid w:val="000C23B1"/>
    <w:rsid w:val="000C2FB9"/>
    <w:rsid w:val="000C450B"/>
    <w:rsid w:val="000C4ED1"/>
    <w:rsid w:val="000C5DFC"/>
    <w:rsid w:val="000C6EAA"/>
    <w:rsid w:val="000C7995"/>
    <w:rsid w:val="000D3CA9"/>
    <w:rsid w:val="000D3F8B"/>
    <w:rsid w:val="000D41C1"/>
    <w:rsid w:val="000D44DE"/>
    <w:rsid w:val="000D4661"/>
    <w:rsid w:val="000D4B66"/>
    <w:rsid w:val="000D4F5F"/>
    <w:rsid w:val="000D53A2"/>
    <w:rsid w:val="000D60E5"/>
    <w:rsid w:val="000D7845"/>
    <w:rsid w:val="000D7CEB"/>
    <w:rsid w:val="000E0B03"/>
    <w:rsid w:val="000E1F61"/>
    <w:rsid w:val="000E5CB1"/>
    <w:rsid w:val="000E73CF"/>
    <w:rsid w:val="000F018E"/>
    <w:rsid w:val="000F5315"/>
    <w:rsid w:val="000F561E"/>
    <w:rsid w:val="001003C6"/>
    <w:rsid w:val="00101E8B"/>
    <w:rsid w:val="00103F58"/>
    <w:rsid w:val="001043AF"/>
    <w:rsid w:val="00105CC2"/>
    <w:rsid w:val="00106EDE"/>
    <w:rsid w:val="00110483"/>
    <w:rsid w:val="00110B3C"/>
    <w:rsid w:val="00111DFE"/>
    <w:rsid w:val="00112B3E"/>
    <w:rsid w:val="00115501"/>
    <w:rsid w:val="00115E8D"/>
    <w:rsid w:val="00116668"/>
    <w:rsid w:val="00116C1E"/>
    <w:rsid w:val="00117D58"/>
    <w:rsid w:val="00120162"/>
    <w:rsid w:val="00120431"/>
    <w:rsid w:val="001232B1"/>
    <w:rsid w:val="00123A5A"/>
    <w:rsid w:val="00123D52"/>
    <w:rsid w:val="001242FF"/>
    <w:rsid w:val="001255CD"/>
    <w:rsid w:val="0012725B"/>
    <w:rsid w:val="00127822"/>
    <w:rsid w:val="00131764"/>
    <w:rsid w:val="00131C0D"/>
    <w:rsid w:val="00133E20"/>
    <w:rsid w:val="00136E24"/>
    <w:rsid w:val="0014161A"/>
    <w:rsid w:val="00143D67"/>
    <w:rsid w:val="00144676"/>
    <w:rsid w:val="00146E84"/>
    <w:rsid w:val="00150890"/>
    <w:rsid w:val="00150D0F"/>
    <w:rsid w:val="00155F06"/>
    <w:rsid w:val="00156504"/>
    <w:rsid w:val="00160C98"/>
    <w:rsid w:val="0016111E"/>
    <w:rsid w:val="00161807"/>
    <w:rsid w:val="00162E99"/>
    <w:rsid w:val="001639D0"/>
    <w:rsid w:val="00165B9E"/>
    <w:rsid w:val="00165D60"/>
    <w:rsid w:val="00167096"/>
    <w:rsid w:val="00171691"/>
    <w:rsid w:val="00172CC2"/>
    <w:rsid w:val="00172FDB"/>
    <w:rsid w:val="00175B27"/>
    <w:rsid w:val="00175D0E"/>
    <w:rsid w:val="0017633B"/>
    <w:rsid w:val="00176407"/>
    <w:rsid w:val="0017660B"/>
    <w:rsid w:val="00181CF5"/>
    <w:rsid w:val="00182319"/>
    <w:rsid w:val="001847BE"/>
    <w:rsid w:val="00184E9C"/>
    <w:rsid w:val="00187DC1"/>
    <w:rsid w:val="00190B5F"/>
    <w:rsid w:val="0019138D"/>
    <w:rsid w:val="0019199E"/>
    <w:rsid w:val="0019242E"/>
    <w:rsid w:val="00192B58"/>
    <w:rsid w:val="0019311A"/>
    <w:rsid w:val="00196BDC"/>
    <w:rsid w:val="00196E96"/>
    <w:rsid w:val="001A0B7D"/>
    <w:rsid w:val="001A0C6A"/>
    <w:rsid w:val="001A0C98"/>
    <w:rsid w:val="001A3E47"/>
    <w:rsid w:val="001A5231"/>
    <w:rsid w:val="001B475E"/>
    <w:rsid w:val="001B64B0"/>
    <w:rsid w:val="001B69D0"/>
    <w:rsid w:val="001B6AE7"/>
    <w:rsid w:val="001B7402"/>
    <w:rsid w:val="001C03A0"/>
    <w:rsid w:val="001C0998"/>
    <w:rsid w:val="001C2D69"/>
    <w:rsid w:val="001C3291"/>
    <w:rsid w:val="001C3E55"/>
    <w:rsid w:val="001C5031"/>
    <w:rsid w:val="001C526C"/>
    <w:rsid w:val="001D0655"/>
    <w:rsid w:val="001D1DF5"/>
    <w:rsid w:val="001D2917"/>
    <w:rsid w:val="001D2CF4"/>
    <w:rsid w:val="001D3E77"/>
    <w:rsid w:val="001D5E51"/>
    <w:rsid w:val="001D6793"/>
    <w:rsid w:val="001D76BE"/>
    <w:rsid w:val="001D783A"/>
    <w:rsid w:val="001E0483"/>
    <w:rsid w:val="001E0669"/>
    <w:rsid w:val="001E2BB5"/>
    <w:rsid w:val="001E3554"/>
    <w:rsid w:val="001E3587"/>
    <w:rsid w:val="001E3956"/>
    <w:rsid w:val="001E64A5"/>
    <w:rsid w:val="001E66B1"/>
    <w:rsid w:val="001E6D6C"/>
    <w:rsid w:val="001E7BB4"/>
    <w:rsid w:val="001F0ED2"/>
    <w:rsid w:val="001F4E8F"/>
    <w:rsid w:val="001F51CD"/>
    <w:rsid w:val="001F52DE"/>
    <w:rsid w:val="001F5764"/>
    <w:rsid w:val="001F6F70"/>
    <w:rsid w:val="001F793F"/>
    <w:rsid w:val="002040EA"/>
    <w:rsid w:val="002056AE"/>
    <w:rsid w:val="0020683D"/>
    <w:rsid w:val="002069B9"/>
    <w:rsid w:val="00207EB2"/>
    <w:rsid w:val="002105C1"/>
    <w:rsid w:val="002113DE"/>
    <w:rsid w:val="00211A0B"/>
    <w:rsid w:val="00212D18"/>
    <w:rsid w:val="00213015"/>
    <w:rsid w:val="00213030"/>
    <w:rsid w:val="00213EE1"/>
    <w:rsid w:val="00214D6F"/>
    <w:rsid w:val="00214DF6"/>
    <w:rsid w:val="00215DA0"/>
    <w:rsid w:val="00216369"/>
    <w:rsid w:val="00216757"/>
    <w:rsid w:val="00221921"/>
    <w:rsid w:val="00221A24"/>
    <w:rsid w:val="0022245A"/>
    <w:rsid w:val="002229E0"/>
    <w:rsid w:val="002229E7"/>
    <w:rsid w:val="00222F75"/>
    <w:rsid w:val="0022644C"/>
    <w:rsid w:val="00226C04"/>
    <w:rsid w:val="00231A77"/>
    <w:rsid w:val="00231C68"/>
    <w:rsid w:val="002321A4"/>
    <w:rsid w:val="002355A3"/>
    <w:rsid w:val="00235AEB"/>
    <w:rsid w:val="002362D3"/>
    <w:rsid w:val="00236656"/>
    <w:rsid w:val="002374F8"/>
    <w:rsid w:val="0024119A"/>
    <w:rsid w:val="002412DD"/>
    <w:rsid w:val="00242C71"/>
    <w:rsid w:val="0024323E"/>
    <w:rsid w:val="00243593"/>
    <w:rsid w:val="0024378B"/>
    <w:rsid w:val="002461D2"/>
    <w:rsid w:val="00246CF1"/>
    <w:rsid w:val="002511CF"/>
    <w:rsid w:val="00251A27"/>
    <w:rsid w:val="00252E25"/>
    <w:rsid w:val="002537EF"/>
    <w:rsid w:val="00253AF0"/>
    <w:rsid w:val="00253F47"/>
    <w:rsid w:val="002546C2"/>
    <w:rsid w:val="002551D9"/>
    <w:rsid w:val="00255F95"/>
    <w:rsid w:val="00261BB1"/>
    <w:rsid w:val="00261DB4"/>
    <w:rsid w:val="0026341B"/>
    <w:rsid w:val="002638E5"/>
    <w:rsid w:val="00263DF9"/>
    <w:rsid w:val="0026509A"/>
    <w:rsid w:val="00266E56"/>
    <w:rsid w:val="002675DD"/>
    <w:rsid w:val="00271747"/>
    <w:rsid w:val="0027260C"/>
    <w:rsid w:val="0027286B"/>
    <w:rsid w:val="00274C9F"/>
    <w:rsid w:val="00274D3F"/>
    <w:rsid w:val="00274EB5"/>
    <w:rsid w:val="00275472"/>
    <w:rsid w:val="002757E0"/>
    <w:rsid w:val="00275F04"/>
    <w:rsid w:val="00276325"/>
    <w:rsid w:val="0027702D"/>
    <w:rsid w:val="00277382"/>
    <w:rsid w:val="00277BC0"/>
    <w:rsid w:val="00280E80"/>
    <w:rsid w:val="0028105E"/>
    <w:rsid w:val="00284678"/>
    <w:rsid w:val="0028665C"/>
    <w:rsid w:val="00287A37"/>
    <w:rsid w:val="00290CA7"/>
    <w:rsid w:val="002912BA"/>
    <w:rsid w:val="00291679"/>
    <w:rsid w:val="00291FCA"/>
    <w:rsid w:val="00293828"/>
    <w:rsid w:val="0029405F"/>
    <w:rsid w:val="00296BEC"/>
    <w:rsid w:val="002A007C"/>
    <w:rsid w:val="002A139A"/>
    <w:rsid w:val="002A46E9"/>
    <w:rsid w:val="002A4A03"/>
    <w:rsid w:val="002A5D20"/>
    <w:rsid w:val="002A62E5"/>
    <w:rsid w:val="002A63A4"/>
    <w:rsid w:val="002A77D1"/>
    <w:rsid w:val="002B025E"/>
    <w:rsid w:val="002B058F"/>
    <w:rsid w:val="002B113D"/>
    <w:rsid w:val="002B2BB0"/>
    <w:rsid w:val="002B3313"/>
    <w:rsid w:val="002B4319"/>
    <w:rsid w:val="002B4C3A"/>
    <w:rsid w:val="002B5361"/>
    <w:rsid w:val="002B617D"/>
    <w:rsid w:val="002B6577"/>
    <w:rsid w:val="002B67C9"/>
    <w:rsid w:val="002B731F"/>
    <w:rsid w:val="002B7EFC"/>
    <w:rsid w:val="002C433F"/>
    <w:rsid w:val="002C4DF9"/>
    <w:rsid w:val="002C5204"/>
    <w:rsid w:val="002C5AFE"/>
    <w:rsid w:val="002C75CC"/>
    <w:rsid w:val="002D0963"/>
    <w:rsid w:val="002D3A04"/>
    <w:rsid w:val="002D46DA"/>
    <w:rsid w:val="002D46EF"/>
    <w:rsid w:val="002D4B5C"/>
    <w:rsid w:val="002D5685"/>
    <w:rsid w:val="002D62C5"/>
    <w:rsid w:val="002D753B"/>
    <w:rsid w:val="002D77C5"/>
    <w:rsid w:val="002E20DD"/>
    <w:rsid w:val="002E3783"/>
    <w:rsid w:val="002E64A4"/>
    <w:rsid w:val="002E67F8"/>
    <w:rsid w:val="002E69B6"/>
    <w:rsid w:val="002E6F0D"/>
    <w:rsid w:val="002E6FAD"/>
    <w:rsid w:val="002F00BB"/>
    <w:rsid w:val="002F0448"/>
    <w:rsid w:val="002F0CE8"/>
    <w:rsid w:val="002F2DAF"/>
    <w:rsid w:val="002F43AB"/>
    <w:rsid w:val="002F45CB"/>
    <w:rsid w:val="002F7346"/>
    <w:rsid w:val="00301B51"/>
    <w:rsid w:val="00303F2C"/>
    <w:rsid w:val="0030488A"/>
    <w:rsid w:val="0030488D"/>
    <w:rsid w:val="00305883"/>
    <w:rsid w:val="003065E9"/>
    <w:rsid w:val="00306767"/>
    <w:rsid w:val="00307325"/>
    <w:rsid w:val="00307D46"/>
    <w:rsid w:val="003115EA"/>
    <w:rsid w:val="00312D09"/>
    <w:rsid w:val="003139A6"/>
    <w:rsid w:val="003159CC"/>
    <w:rsid w:val="00317CD7"/>
    <w:rsid w:val="00317DE0"/>
    <w:rsid w:val="00321860"/>
    <w:rsid w:val="003235EB"/>
    <w:rsid w:val="0032373C"/>
    <w:rsid w:val="00325655"/>
    <w:rsid w:val="0032707E"/>
    <w:rsid w:val="0033042F"/>
    <w:rsid w:val="003305D2"/>
    <w:rsid w:val="00330DEB"/>
    <w:rsid w:val="00331DD6"/>
    <w:rsid w:val="00333B2F"/>
    <w:rsid w:val="00334D27"/>
    <w:rsid w:val="00337AFD"/>
    <w:rsid w:val="0034156F"/>
    <w:rsid w:val="00342B3F"/>
    <w:rsid w:val="00342F7A"/>
    <w:rsid w:val="0034385F"/>
    <w:rsid w:val="00343B02"/>
    <w:rsid w:val="00343B41"/>
    <w:rsid w:val="003443B1"/>
    <w:rsid w:val="00344F67"/>
    <w:rsid w:val="003455FB"/>
    <w:rsid w:val="00345706"/>
    <w:rsid w:val="00346E79"/>
    <w:rsid w:val="00347898"/>
    <w:rsid w:val="00347C71"/>
    <w:rsid w:val="00347D81"/>
    <w:rsid w:val="00350A64"/>
    <w:rsid w:val="0035184B"/>
    <w:rsid w:val="00352435"/>
    <w:rsid w:val="003524EB"/>
    <w:rsid w:val="00354847"/>
    <w:rsid w:val="00354D63"/>
    <w:rsid w:val="00355285"/>
    <w:rsid w:val="0035658B"/>
    <w:rsid w:val="00356832"/>
    <w:rsid w:val="0035737D"/>
    <w:rsid w:val="0036011B"/>
    <w:rsid w:val="0036047E"/>
    <w:rsid w:val="00363323"/>
    <w:rsid w:val="00363E63"/>
    <w:rsid w:val="003640E5"/>
    <w:rsid w:val="00364476"/>
    <w:rsid w:val="00364A8F"/>
    <w:rsid w:val="0036516C"/>
    <w:rsid w:val="00365D68"/>
    <w:rsid w:val="00366D68"/>
    <w:rsid w:val="00371828"/>
    <w:rsid w:val="00371963"/>
    <w:rsid w:val="00371C85"/>
    <w:rsid w:val="00373F9D"/>
    <w:rsid w:val="00374467"/>
    <w:rsid w:val="003745FF"/>
    <w:rsid w:val="00374B90"/>
    <w:rsid w:val="0037511B"/>
    <w:rsid w:val="00375A11"/>
    <w:rsid w:val="00376254"/>
    <w:rsid w:val="0037709E"/>
    <w:rsid w:val="00380056"/>
    <w:rsid w:val="00381F22"/>
    <w:rsid w:val="003831A6"/>
    <w:rsid w:val="00384E8B"/>
    <w:rsid w:val="0038500A"/>
    <w:rsid w:val="00385765"/>
    <w:rsid w:val="00386C31"/>
    <w:rsid w:val="00390947"/>
    <w:rsid w:val="00391C78"/>
    <w:rsid w:val="00394109"/>
    <w:rsid w:val="00394FBC"/>
    <w:rsid w:val="003963FA"/>
    <w:rsid w:val="00396859"/>
    <w:rsid w:val="003974F8"/>
    <w:rsid w:val="003A1B12"/>
    <w:rsid w:val="003A23E4"/>
    <w:rsid w:val="003A26B5"/>
    <w:rsid w:val="003A49D8"/>
    <w:rsid w:val="003B1210"/>
    <w:rsid w:val="003B14A1"/>
    <w:rsid w:val="003B1B85"/>
    <w:rsid w:val="003B2E1F"/>
    <w:rsid w:val="003B35A5"/>
    <w:rsid w:val="003B4ABA"/>
    <w:rsid w:val="003B55C2"/>
    <w:rsid w:val="003B61D6"/>
    <w:rsid w:val="003B65D3"/>
    <w:rsid w:val="003B692B"/>
    <w:rsid w:val="003B7649"/>
    <w:rsid w:val="003B76CF"/>
    <w:rsid w:val="003B7B25"/>
    <w:rsid w:val="003C0556"/>
    <w:rsid w:val="003C0E1C"/>
    <w:rsid w:val="003C1005"/>
    <w:rsid w:val="003C2454"/>
    <w:rsid w:val="003C3C52"/>
    <w:rsid w:val="003C4422"/>
    <w:rsid w:val="003C44D9"/>
    <w:rsid w:val="003C5FE1"/>
    <w:rsid w:val="003C614E"/>
    <w:rsid w:val="003C689C"/>
    <w:rsid w:val="003C6951"/>
    <w:rsid w:val="003C7F54"/>
    <w:rsid w:val="003D0FA7"/>
    <w:rsid w:val="003D1203"/>
    <w:rsid w:val="003D2A30"/>
    <w:rsid w:val="003D58DF"/>
    <w:rsid w:val="003D6046"/>
    <w:rsid w:val="003E0230"/>
    <w:rsid w:val="003E0613"/>
    <w:rsid w:val="003E089F"/>
    <w:rsid w:val="003E49A6"/>
    <w:rsid w:val="003E5239"/>
    <w:rsid w:val="003E5ADA"/>
    <w:rsid w:val="003E5C15"/>
    <w:rsid w:val="003E64D6"/>
    <w:rsid w:val="003F30E4"/>
    <w:rsid w:val="003F3234"/>
    <w:rsid w:val="003F4C1B"/>
    <w:rsid w:val="003F5F51"/>
    <w:rsid w:val="003F7222"/>
    <w:rsid w:val="003F7CC6"/>
    <w:rsid w:val="004041D4"/>
    <w:rsid w:val="0040719E"/>
    <w:rsid w:val="004079CD"/>
    <w:rsid w:val="004112CD"/>
    <w:rsid w:val="004123A3"/>
    <w:rsid w:val="004127E5"/>
    <w:rsid w:val="004128C4"/>
    <w:rsid w:val="00413087"/>
    <w:rsid w:val="0041456C"/>
    <w:rsid w:val="00415098"/>
    <w:rsid w:val="00416E66"/>
    <w:rsid w:val="00417580"/>
    <w:rsid w:val="004204B9"/>
    <w:rsid w:val="00422EDF"/>
    <w:rsid w:val="004235EE"/>
    <w:rsid w:val="004255B4"/>
    <w:rsid w:val="00425A43"/>
    <w:rsid w:val="00425EAE"/>
    <w:rsid w:val="004271E0"/>
    <w:rsid w:val="00431E69"/>
    <w:rsid w:val="00431EDD"/>
    <w:rsid w:val="00433A4D"/>
    <w:rsid w:val="00435A09"/>
    <w:rsid w:val="004368FB"/>
    <w:rsid w:val="00436BA4"/>
    <w:rsid w:val="004419D5"/>
    <w:rsid w:val="004425AB"/>
    <w:rsid w:val="00443E73"/>
    <w:rsid w:val="00445483"/>
    <w:rsid w:val="00445954"/>
    <w:rsid w:val="00446303"/>
    <w:rsid w:val="0044650F"/>
    <w:rsid w:val="00451B53"/>
    <w:rsid w:val="00452589"/>
    <w:rsid w:val="00452804"/>
    <w:rsid w:val="00452E47"/>
    <w:rsid w:val="004533D3"/>
    <w:rsid w:val="0045444B"/>
    <w:rsid w:val="00454E68"/>
    <w:rsid w:val="00455141"/>
    <w:rsid w:val="004608B3"/>
    <w:rsid w:val="00460CE5"/>
    <w:rsid w:val="00461AEB"/>
    <w:rsid w:val="00461BCB"/>
    <w:rsid w:val="00462BA6"/>
    <w:rsid w:val="004636A5"/>
    <w:rsid w:val="00464D01"/>
    <w:rsid w:val="00465755"/>
    <w:rsid w:val="00466684"/>
    <w:rsid w:val="00467144"/>
    <w:rsid w:val="0046726B"/>
    <w:rsid w:val="00467D2C"/>
    <w:rsid w:val="00471004"/>
    <w:rsid w:val="004712B8"/>
    <w:rsid w:val="00472624"/>
    <w:rsid w:val="004729A1"/>
    <w:rsid w:val="00472EF9"/>
    <w:rsid w:val="0047514E"/>
    <w:rsid w:val="00475FC3"/>
    <w:rsid w:val="00477274"/>
    <w:rsid w:val="00477B81"/>
    <w:rsid w:val="0048065F"/>
    <w:rsid w:val="0048123F"/>
    <w:rsid w:val="00485BB1"/>
    <w:rsid w:val="004862C8"/>
    <w:rsid w:val="004876B2"/>
    <w:rsid w:val="00493431"/>
    <w:rsid w:val="00493E59"/>
    <w:rsid w:val="00496E7F"/>
    <w:rsid w:val="004970E5"/>
    <w:rsid w:val="004979B8"/>
    <w:rsid w:val="00497D53"/>
    <w:rsid w:val="004A02A4"/>
    <w:rsid w:val="004A1379"/>
    <w:rsid w:val="004A37A6"/>
    <w:rsid w:val="004A44FE"/>
    <w:rsid w:val="004A45C9"/>
    <w:rsid w:val="004A574A"/>
    <w:rsid w:val="004A5B1D"/>
    <w:rsid w:val="004A6A8D"/>
    <w:rsid w:val="004B013F"/>
    <w:rsid w:val="004B1640"/>
    <w:rsid w:val="004B235F"/>
    <w:rsid w:val="004B251D"/>
    <w:rsid w:val="004B2A84"/>
    <w:rsid w:val="004B415A"/>
    <w:rsid w:val="004B49B6"/>
    <w:rsid w:val="004B596F"/>
    <w:rsid w:val="004C07F3"/>
    <w:rsid w:val="004C0A16"/>
    <w:rsid w:val="004C1790"/>
    <w:rsid w:val="004C278D"/>
    <w:rsid w:val="004C2835"/>
    <w:rsid w:val="004C30D1"/>
    <w:rsid w:val="004C783F"/>
    <w:rsid w:val="004D0C06"/>
    <w:rsid w:val="004D1C88"/>
    <w:rsid w:val="004D2BC3"/>
    <w:rsid w:val="004D2D1C"/>
    <w:rsid w:val="004D4230"/>
    <w:rsid w:val="004D435B"/>
    <w:rsid w:val="004D63EF"/>
    <w:rsid w:val="004E09B3"/>
    <w:rsid w:val="004E107A"/>
    <w:rsid w:val="004E1AF2"/>
    <w:rsid w:val="004E1F41"/>
    <w:rsid w:val="004E2181"/>
    <w:rsid w:val="004E23B9"/>
    <w:rsid w:val="004E25B2"/>
    <w:rsid w:val="004E5F26"/>
    <w:rsid w:val="004E7943"/>
    <w:rsid w:val="004F2DE4"/>
    <w:rsid w:val="004F320B"/>
    <w:rsid w:val="004F3835"/>
    <w:rsid w:val="004F4B0F"/>
    <w:rsid w:val="004F58F5"/>
    <w:rsid w:val="004F61F1"/>
    <w:rsid w:val="004F7176"/>
    <w:rsid w:val="004F72E3"/>
    <w:rsid w:val="00500BC4"/>
    <w:rsid w:val="0050288D"/>
    <w:rsid w:val="0050596C"/>
    <w:rsid w:val="00506E6D"/>
    <w:rsid w:val="00513ECE"/>
    <w:rsid w:val="00514F8B"/>
    <w:rsid w:val="00520115"/>
    <w:rsid w:val="005224F3"/>
    <w:rsid w:val="0052370A"/>
    <w:rsid w:val="005247CB"/>
    <w:rsid w:val="0052505D"/>
    <w:rsid w:val="005255A6"/>
    <w:rsid w:val="005321D5"/>
    <w:rsid w:val="005326CC"/>
    <w:rsid w:val="00533109"/>
    <w:rsid w:val="00533DBA"/>
    <w:rsid w:val="00534457"/>
    <w:rsid w:val="005361E9"/>
    <w:rsid w:val="0053756C"/>
    <w:rsid w:val="00540765"/>
    <w:rsid w:val="00540DDE"/>
    <w:rsid w:val="0054158F"/>
    <w:rsid w:val="00541FA3"/>
    <w:rsid w:val="00544194"/>
    <w:rsid w:val="005461A5"/>
    <w:rsid w:val="005468A2"/>
    <w:rsid w:val="00546DBF"/>
    <w:rsid w:val="00547A11"/>
    <w:rsid w:val="00547F35"/>
    <w:rsid w:val="00555A80"/>
    <w:rsid w:val="00556EE1"/>
    <w:rsid w:val="00561C9A"/>
    <w:rsid w:val="00562A2C"/>
    <w:rsid w:val="00562BD5"/>
    <w:rsid w:val="00564635"/>
    <w:rsid w:val="0056680E"/>
    <w:rsid w:val="00566D6E"/>
    <w:rsid w:val="00570F9D"/>
    <w:rsid w:val="00573CF2"/>
    <w:rsid w:val="00574EDD"/>
    <w:rsid w:val="0058006D"/>
    <w:rsid w:val="0058052D"/>
    <w:rsid w:val="0058058A"/>
    <w:rsid w:val="005806D5"/>
    <w:rsid w:val="005820F9"/>
    <w:rsid w:val="00583D17"/>
    <w:rsid w:val="0058526B"/>
    <w:rsid w:val="00585ACB"/>
    <w:rsid w:val="00591E8D"/>
    <w:rsid w:val="00594469"/>
    <w:rsid w:val="00594E6B"/>
    <w:rsid w:val="005954ED"/>
    <w:rsid w:val="00596202"/>
    <w:rsid w:val="005965AF"/>
    <w:rsid w:val="005977D2"/>
    <w:rsid w:val="005A09F6"/>
    <w:rsid w:val="005A173C"/>
    <w:rsid w:val="005A178B"/>
    <w:rsid w:val="005A2EF5"/>
    <w:rsid w:val="005A3248"/>
    <w:rsid w:val="005A34BA"/>
    <w:rsid w:val="005A41D3"/>
    <w:rsid w:val="005A4306"/>
    <w:rsid w:val="005A6A59"/>
    <w:rsid w:val="005A70C8"/>
    <w:rsid w:val="005A76E3"/>
    <w:rsid w:val="005A7DEB"/>
    <w:rsid w:val="005B0C7D"/>
    <w:rsid w:val="005B19C7"/>
    <w:rsid w:val="005B3236"/>
    <w:rsid w:val="005B4B43"/>
    <w:rsid w:val="005B4C57"/>
    <w:rsid w:val="005B6FC5"/>
    <w:rsid w:val="005C1F89"/>
    <w:rsid w:val="005C28C9"/>
    <w:rsid w:val="005C2C5C"/>
    <w:rsid w:val="005C3B6F"/>
    <w:rsid w:val="005C489E"/>
    <w:rsid w:val="005C4D2E"/>
    <w:rsid w:val="005C5045"/>
    <w:rsid w:val="005C6026"/>
    <w:rsid w:val="005C6873"/>
    <w:rsid w:val="005C7D55"/>
    <w:rsid w:val="005D0551"/>
    <w:rsid w:val="005D15E0"/>
    <w:rsid w:val="005D2647"/>
    <w:rsid w:val="005D285A"/>
    <w:rsid w:val="005D2FEF"/>
    <w:rsid w:val="005D3216"/>
    <w:rsid w:val="005D3726"/>
    <w:rsid w:val="005D409D"/>
    <w:rsid w:val="005D4677"/>
    <w:rsid w:val="005D71A4"/>
    <w:rsid w:val="005E398B"/>
    <w:rsid w:val="005E5A4D"/>
    <w:rsid w:val="005E6F08"/>
    <w:rsid w:val="005F2004"/>
    <w:rsid w:val="005F30E9"/>
    <w:rsid w:val="005F5353"/>
    <w:rsid w:val="005F5C51"/>
    <w:rsid w:val="0060025E"/>
    <w:rsid w:val="006005D5"/>
    <w:rsid w:val="00600657"/>
    <w:rsid w:val="00600E28"/>
    <w:rsid w:val="0060240D"/>
    <w:rsid w:val="0060300C"/>
    <w:rsid w:val="006068D0"/>
    <w:rsid w:val="00610502"/>
    <w:rsid w:val="00611056"/>
    <w:rsid w:val="00612374"/>
    <w:rsid w:val="00613F54"/>
    <w:rsid w:val="00613F73"/>
    <w:rsid w:val="00614A02"/>
    <w:rsid w:val="00623BBE"/>
    <w:rsid w:val="00624052"/>
    <w:rsid w:val="00625493"/>
    <w:rsid w:val="006259AA"/>
    <w:rsid w:val="006269CE"/>
    <w:rsid w:val="006275D7"/>
    <w:rsid w:val="00630D2D"/>
    <w:rsid w:val="00632222"/>
    <w:rsid w:val="0063497B"/>
    <w:rsid w:val="0063571F"/>
    <w:rsid w:val="00637D5B"/>
    <w:rsid w:val="006421BC"/>
    <w:rsid w:val="00642F62"/>
    <w:rsid w:val="00643ACC"/>
    <w:rsid w:val="00644FBF"/>
    <w:rsid w:val="00650921"/>
    <w:rsid w:val="00651A2E"/>
    <w:rsid w:val="00651F6F"/>
    <w:rsid w:val="00652795"/>
    <w:rsid w:val="00653D13"/>
    <w:rsid w:val="0065447B"/>
    <w:rsid w:val="00654D5D"/>
    <w:rsid w:val="00654FA7"/>
    <w:rsid w:val="006550DB"/>
    <w:rsid w:val="00655F1A"/>
    <w:rsid w:val="006571E5"/>
    <w:rsid w:val="00657585"/>
    <w:rsid w:val="00660650"/>
    <w:rsid w:val="0066117E"/>
    <w:rsid w:val="00662886"/>
    <w:rsid w:val="00662E1E"/>
    <w:rsid w:val="0066322D"/>
    <w:rsid w:val="00664378"/>
    <w:rsid w:val="0066568A"/>
    <w:rsid w:val="00670BA9"/>
    <w:rsid w:val="00671853"/>
    <w:rsid w:val="0067369C"/>
    <w:rsid w:val="00675932"/>
    <w:rsid w:val="00681569"/>
    <w:rsid w:val="00681FAA"/>
    <w:rsid w:val="0068388C"/>
    <w:rsid w:val="00684C20"/>
    <w:rsid w:val="006851CA"/>
    <w:rsid w:val="006875F1"/>
    <w:rsid w:val="00687A6B"/>
    <w:rsid w:val="00690FA9"/>
    <w:rsid w:val="0069164D"/>
    <w:rsid w:val="006948F5"/>
    <w:rsid w:val="00695B5D"/>
    <w:rsid w:val="006965FC"/>
    <w:rsid w:val="006979EF"/>
    <w:rsid w:val="006A15CC"/>
    <w:rsid w:val="006A595B"/>
    <w:rsid w:val="006A5B3A"/>
    <w:rsid w:val="006A6820"/>
    <w:rsid w:val="006A7079"/>
    <w:rsid w:val="006A7EB4"/>
    <w:rsid w:val="006B1257"/>
    <w:rsid w:val="006B3D3D"/>
    <w:rsid w:val="006B41D1"/>
    <w:rsid w:val="006B533C"/>
    <w:rsid w:val="006B60A0"/>
    <w:rsid w:val="006B73B6"/>
    <w:rsid w:val="006B7430"/>
    <w:rsid w:val="006B7DA3"/>
    <w:rsid w:val="006C1EAA"/>
    <w:rsid w:val="006C2117"/>
    <w:rsid w:val="006C27AE"/>
    <w:rsid w:val="006C2E31"/>
    <w:rsid w:val="006C6657"/>
    <w:rsid w:val="006C66CB"/>
    <w:rsid w:val="006C6FC9"/>
    <w:rsid w:val="006C7DB4"/>
    <w:rsid w:val="006D35BD"/>
    <w:rsid w:val="006D3EED"/>
    <w:rsid w:val="006D6E78"/>
    <w:rsid w:val="006D7746"/>
    <w:rsid w:val="006E1C81"/>
    <w:rsid w:val="006E2576"/>
    <w:rsid w:val="006E4A20"/>
    <w:rsid w:val="006E4E20"/>
    <w:rsid w:val="006E6B3C"/>
    <w:rsid w:val="006F02A9"/>
    <w:rsid w:val="006F2D58"/>
    <w:rsid w:val="006F3B53"/>
    <w:rsid w:val="006F51A4"/>
    <w:rsid w:val="006F66C0"/>
    <w:rsid w:val="006F67EF"/>
    <w:rsid w:val="006F7D02"/>
    <w:rsid w:val="007016EF"/>
    <w:rsid w:val="0070205B"/>
    <w:rsid w:val="00704450"/>
    <w:rsid w:val="00704F30"/>
    <w:rsid w:val="0070748B"/>
    <w:rsid w:val="007121F2"/>
    <w:rsid w:val="00714319"/>
    <w:rsid w:val="00715D17"/>
    <w:rsid w:val="0072084E"/>
    <w:rsid w:val="00723863"/>
    <w:rsid w:val="007238C1"/>
    <w:rsid w:val="00723D16"/>
    <w:rsid w:val="00724003"/>
    <w:rsid w:val="00725CF3"/>
    <w:rsid w:val="00725D4C"/>
    <w:rsid w:val="0072608C"/>
    <w:rsid w:val="00726253"/>
    <w:rsid w:val="0073092F"/>
    <w:rsid w:val="00731125"/>
    <w:rsid w:val="007314D5"/>
    <w:rsid w:val="00731B6F"/>
    <w:rsid w:val="00732F43"/>
    <w:rsid w:val="00732F89"/>
    <w:rsid w:val="007332C7"/>
    <w:rsid w:val="0073359E"/>
    <w:rsid w:val="00737361"/>
    <w:rsid w:val="0074452D"/>
    <w:rsid w:val="00744593"/>
    <w:rsid w:val="0074466E"/>
    <w:rsid w:val="00744E82"/>
    <w:rsid w:val="0074504D"/>
    <w:rsid w:val="00750B0D"/>
    <w:rsid w:val="007511AD"/>
    <w:rsid w:val="00751346"/>
    <w:rsid w:val="007549FD"/>
    <w:rsid w:val="00757042"/>
    <w:rsid w:val="00757EBD"/>
    <w:rsid w:val="00762194"/>
    <w:rsid w:val="00763660"/>
    <w:rsid w:val="00766241"/>
    <w:rsid w:val="00771468"/>
    <w:rsid w:val="00771D42"/>
    <w:rsid w:val="00776B2B"/>
    <w:rsid w:val="00777337"/>
    <w:rsid w:val="0077762B"/>
    <w:rsid w:val="00781B36"/>
    <w:rsid w:val="00781B5F"/>
    <w:rsid w:val="0078321F"/>
    <w:rsid w:val="0078345B"/>
    <w:rsid w:val="00783749"/>
    <w:rsid w:val="00785E34"/>
    <w:rsid w:val="00785F1B"/>
    <w:rsid w:val="00786303"/>
    <w:rsid w:val="007869CF"/>
    <w:rsid w:val="007904E3"/>
    <w:rsid w:val="00792840"/>
    <w:rsid w:val="00792C0D"/>
    <w:rsid w:val="0079410F"/>
    <w:rsid w:val="00795200"/>
    <w:rsid w:val="00796743"/>
    <w:rsid w:val="007971E2"/>
    <w:rsid w:val="00797A4C"/>
    <w:rsid w:val="007A0B59"/>
    <w:rsid w:val="007A1CD0"/>
    <w:rsid w:val="007A3A82"/>
    <w:rsid w:val="007A414F"/>
    <w:rsid w:val="007A4A97"/>
    <w:rsid w:val="007A5801"/>
    <w:rsid w:val="007A74D0"/>
    <w:rsid w:val="007A78DA"/>
    <w:rsid w:val="007A79D4"/>
    <w:rsid w:val="007B0073"/>
    <w:rsid w:val="007B189A"/>
    <w:rsid w:val="007B6C89"/>
    <w:rsid w:val="007B7110"/>
    <w:rsid w:val="007C2196"/>
    <w:rsid w:val="007C250D"/>
    <w:rsid w:val="007C26AA"/>
    <w:rsid w:val="007C48CF"/>
    <w:rsid w:val="007C4FF4"/>
    <w:rsid w:val="007C5680"/>
    <w:rsid w:val="007D0791"/>
    <w:rsid w:val="007D164F"/>
    <w:rsid w:val="007D1929"/>
    <w:rsid w:val="007D2FD3"/>
    <w:rsid w:val="007D3276"/>
    <w:rsid w:val="007D3896"/>
    <w:rsid w:val="007D4A37"/>
    <w:rsid w:val="007E0A72"/>
    <w:rsid w:val="007E44D9"/>
    <w:rsid w:val="007E659C"/>
    <w:rsid w:val="007F1307"/>
    <w:rsid w:val="007F23CF"/>
    <w:rsid w:val="007F6069"/>
    <w:rsid w:val="007F6635"/>
    <w:rsid w:val="007F7663"/>
    <w:rsid w:val="00800BCD"/>
    <w:rsid w:val="00801D7A"/>
    <w:rsid w:val="00804360"/>
    <w:rsid w:val="0080541B"/>
    <w:rsid w:val="0080568A"/>
    <w:rsid w:val="00805D7C"/>
    <w:rsid w:val="00806AAF"/>
    <w:rsid w:val="00810887"/>
    <w:rsid w:val="00811223"/>
    <w:rsid w:val="00812A6F"/>
    <w:rsid w:val="00812CAD"/>
    <w:rsid w:val="00812D81"/>
    <w:rsid w:val="00813F61"/>
    <w:rsid w:val="0081588D"/>
    <w:rsid w:val="00820580"/>
    <w:rsid w:val="00820AB1"/>
    <w:rsid w:val="00822791"/>
    <w:rsid w:val="00822CF5"/>
    <w:rsid w:val="00823034"/>
    <w:rsid w:val="0082683F"/>
    <w:rsid w:val="0083025B"/>
    <w:rsid w:val="0083059C"/>
    <w:rsid w:val="0083153C"/>
    <w:rsid w:val="0083204F"/>
    <w:rsid w:val="00832953"/>
    <w:rsid w:val="008329EF"/>
    <w:rsid w:val="00835A2A"/>
    <w:rsid w:val="00840074"/>
    <w:rsid w:val="0084137E"/>
    <w:rsid w:val="008427AC"/>
    <w:rsid w:val="00843474"/>
    <w:rsid w:val="0084348E"/>
    <w:rsid w:val="008442F2"/>
    <w:rsid w:val="00844F64"/>
    <w:rsid w:val="00845DC7"/>
    <w:rsid w:val="008463FB"/>
    <w:rsid w:val="0084667D"/>
    <w:rsid w:val="00846728"/>
    <w:rsid w:val="0085122F"/>
    <w:rsid w:val="00851EE2"/>
    <w:rsid w:val="00852E3D"/>
    <w:rsid w:val="00853503"/>
    <w:rsid w:val="008547C6"/>
    <w:rsid w:val="0085538E"/>
    <w:rsid w:val="00855A4A"/>
    <w:rsid w:val="00860582"/>
    <w:rsid w:val="00861ABE"/>
    <w:rsid w:val="00861B70"/>
    <w:rsid w:val="00861F5D"/>
    <w:rsid w:val="008628EC"/>
    <w:rsid w:val="008641A9"/>
    <w:rsid w:val="008649A7"/>
    <w:rsid w:val="00865DA2"/>
    <w:rsid w:val="00865F08"/>
    <w:rsid w:val="0086622F"/>
    <w:rsid w:val="0086762E"/>
    <w:rsid w:val="00870583"/>
    <w:rsid w:val="0087143B"/>
    <w:rsid w:val="0087381C"/>
    <w:rsid w:val="00874615"/>
    <w:rsid w:val="008752A0"/>
    <w:rsid w:val="00875BEC"/>
    <w:rsid w:val="00877AB3"/>
    <w:rsid w:val="00880197"/>
    <w:rsid w:val="00880858"/>
    <w:rsid w:val="00880A84"/>
    <w:rsid w:val="008813CB"/>
    <w:rsid w:val="00882BE5"/>
    <w:rsid w:val="008831BC"/>
    <w:rsid w:val="00883786"/>
    <w:rsid w:val="008867BB"/>
    <w:rsid w:val="00886885"/>
    <w:rsid w:val="00886AD3"/>
    <w:rsid w:val="008878F8"/>
    <w:rsid w:val="00887D7E"/>
    <w:rsid w:val="0089069C"/>
    <w:rsid w:val="00890A09"/>
    <w:rsid w:val="0089259B"/>
    <w:rsid w:val="0089359B"/>
    <w:rsid w:val="0089526A"/>
    <w:rsid w:val="00896CDC"/>
    <w:rsid w:val="00897374"/>
    <w:rsid w:val="00897E6F"/>
    <w:rsid w:val="008A0844"/>
    <w:rsid w:val="008A14E9"/>
    <w:rsid w:val="008A2E00"/>
    <w:rsid w:val="008A2E29"/>
    <w:rsid w:val="008A3335"/>
    <w:rsid w:val="008A349B"/>
    <w:rsid w:val="008A35B3"/>
    <w:rsid w:val="008A378E"/>
    <w:rsid w:val="008A3BAE"/>
    <w:rsid w:val="008A3FAF"/>
    <w:rsid w:val="008A60FC"/>
    <w:rsid w:val="008A6764"/>
    <w:rsid w:val="008A6BD9"/>
    <w:rsid w:val="008A7049"/>
    <w:rsid w:val="008B1523"/>
    <w:rsid w:val="008B1D34"/>
    <w:rsid w:val="008B1DC9"/>
    <w:rsid w:val="008B7326"/>
    <w:rsid w:val="008C04C4"/>
    <w:rsid w:val="008C0C47"/>
    <w:rsid w:val="008C32FE"/>
    <w:rsid w:val="008C42E8"/>
    <w:rsid w:val="008C5025"/>
    <w:rsid w:val="008C6175"/>
    <w:rsid w:val="008C7564"/>
    <w:rsid w:val="008D03DA"/>
    <w:rsid w:val="008D762E"/>
    <w:rsid w:val="008D7B37"/>
    <w:rsid w:val="008E0B10"/>
    <w:rsid w:val="008E1B3B"/>
    <w:rsid w:val="008E245D"/>
    <w:rsid w:val="008E4669"/>
    <w:rsid w:val="008E65B2"/>
    <w:rsid w:val="008E7947"/>
    <w:rsid w:val="008F2C7A"/>
    <w:rsid w:val="008F30B3"/>
    <w:rsid w:val="008F453E"/>
    <w:rsid w:val="008F5762"/>
    <w:rsid w:val="008F66F2"/>
    <w:rsid w:val="00902624"/>
    <w:rsid w:val="00902C77"/>
    <w:rsid w:val="00903ADB"/>
    <w:rsid w:val="009046AC"/>
    <w:rsid w:val="00905AD0"/>
    <w:rsid w:val="00906593"/>
    <w:rsid w:val="0090688B"/>
    <w:rsid w:val="00907B7D"/>
    <w:rsid w:val="00910265"/>
    <w:rsid w:val="00910A6B"/>
    <w:rsid w:val="00912E9F"/>
    <w:rsid w:val="0091385F"/>
    <w:rsid w:val="009155DB"/>
    <w:rsid w:val="009156FD"/>
    <w:rsid w:val="00916FC4"/>
    <w:rsid w:val="0091753E"/>
    <w:rsid w:val="00920B32"/>
    <w:rsid w:val="00926E02"/>
    <w:rsid w:val="009307A5"/>
    <w:rsid w:val="00934C66"/>
    <w:rsid w:val="0093604B"/>
    <w:rsid w:val="00936BD2"/>
    <w:rsid w:val="009409A8"/>
    <w:rsid w:val="00941D69"/>
    <w:rsid w:val="00942374"/>
    <w:rsid w:val="00942927"/>
    <w:rsid w:val="00942D32"/>
    <w:rsid w:val="00943A1A"/>
    <w:rsid w:val="009446E5"/>
    <w:rsid w:val="00946C4C"/>
    <w:rsid w:val="00946EC9"/>
    <w:rsid w:val="009470CD"/>
    <w:rsid w:val="00947144"/>
    <w:rsid w:val="009500D6"/>
    <w:rsid w:val="0095229A"/>
    <w:rsid w:val="0095573C"/>
    <w:rsid w:val="0095666D"/>
    <w:rsid w:val="00957866"/>
    <w:rsid w:val="00957EAF"/>
    <w:rsid w:val="0096156F"/>
    <w:rsid w:val="0096200D"/>
    <w:rsid w:val="00962011"/>
    <w:rsid w:val="009640CE"/>
    <w:rsid w:val="009649D5"/>
    <w:rsid w:val="00965EF5"/>
    <w:rsid w:val="00971564"/>
    <w:rsid w:val="00972DAE"/>
    <w:rsid w:val="0097375C"/>
    <w:rsid w:val="009740C1"/>
    <w:rsid w:val="0097488C"/>
    <w:rsid w:val="00974CB2"/>
    <w:rsid w:val="00974E3E"/>
    <w:rsid w:val="00976D8A"/>
    <w:rsid w:val="009770F7"/>
    <w:rsid w:val="0098239E"/>
    <w:rsid w:val="00982A57"/>
    <w:rsid w:val="0098300A"/>
    <w:rsid w:val="0098360C"/>
    <w:rsid w:val="009840A7"/>
    <w:rsid w:val="00985024"/>
    <w:rsid w:val="00985EE4"/>
    <w:rsid w:val="009878CC"/>
    <w:rsid w:val="00987C68"/>
    <w:rsid w:val="009908D8"/>
    <w:rsid w:val="009918B9"/>
    <w:rsid w:val="009930B0"/>
    <w:rsid w:val="009934E3"/>
    <w:rsid w:val="00993C23"/>
    <w:rsid w:val="0099530C"/>
    <w:rsid w:val="009A0978"/>
    <w:rsid w:val="009A1E12"/>
    <w:rsid w:val="009A5FCB"/>
    <w:rsid w:val="009A7163"/>
    <w:rsid w:val="009B0988"/>
    <w:rsid w:val="009B1E15"/>
    <w:rsid w:val="009B42EA"/>
    <w:rsid w:val="009C02A2"/>
    <w:rsid w:val="009C1BE7"/>
    <w:rsid w:val="009C337E"/>
    <w:rsid w:val="009C349F"/>
    <w:rsid w:val="009C3BAE"/>
    <w:rsid w:val="009C4C87"/>
    <w:rsid w:val="009C50C6"/>
    <w:rsid w:val="009C5E8F"/>
    <w:rsid w:val="009C6CAF"/>
    <w:rsid w:val="009D0E1C"/>
    <w:rsid w:val="009D311B"/>
    <w:rsid w:val="009D40AD"/>
    <w:rsid w:val="009D4435"/>
    <w:rsid w:val="009D51DC"/>
    <w:rsid w:val="009D691A"/>
    <w:rsid w:val="009E03EE"/>
    <w:rsid w:val="009E0B53"/>
    <w:rsid w:val="009E0FC2"/>
    <w:rsid w:val="009E1137"/>
    <w:rsid w:val="009E1A2A"/>
    <w:rsid w:val="009E2E53"/>
    <w:rsid w:val="009E520E"/>
    <w:rsid w:val="009E540B"/>
    <w:rsid w:val="009E5C93"/>
    <w:rsid w:val="009E728A"/>
    <w:rsid w:val="009F074F"/>
    <w:rsid w:val="009F07AD"/>
    <w:rsid w:val="009F100D"/>
    <w:rsid w:val="009F2107"/>
    <w:rsid w:val="009F2E76"/>
    <w:rsid w:val="009F3678"/>
    <w:rsid w:val="009F5072"/>
    <w:rsid w:val="009F6F44"/>
    <w:rsid w:val="009F75CB"/>
    <w:rsid w:val="00A004DC"/>
    <w:rsid w:val="00A0177E"/>
    <w:rsid w:val="00A0343D"/>
    <w:rsid w:val="00A03639"/>
    <w:rsid w:val="00A045EB"/>
    <w:rsid w:val="00A05383"/>
    <w:rsid w:val="00A05AF7"/>
    <w:rsid w:val="00A06AAA"/>
    <w:rsid w:val="00A072AA"/>
    <w:rsid w:val="00A107AD"/>
    <w:rsid w:val="00A129FF"/>
    <w:rsid w:val="00A15C73"/>
    <w:rsid w:val="00A15DA9"/>
    <w:rsid w:val="00A169D4"/>
    <w:rsid w:val="00A1708B"/>
    <w:rsid w:val="00A21B66"/>
    <w:rsid w:val="00A22817"/>
    <w:rsid w:val="00A236E8"/>
    <w:rsid w:val="00A23D7E"/>
    <w:rsid w:val="00A242E2"/>
    <w:rsid w:val="00A257FF"/>
    <w:rsid w:val="00A267AB"/>
    <w:rsid w:val="00A30DB1"/>
    <w:rsid w:val="00A31A18"/>
    <w:rsid w:val="00A32AAB"/>
    <w:rsid w:val="00A32DE2"/>
    <w:rsid w:val="00A35FCE"/>
    <w:rsid w:val="00A37E11"/>
    <w:rsid w:val="00A42839"/>
    <w:rsid w:val="00A438E1"/>
    <w:rsid w:val="00A439A4"/>
    <w:rsid w:val="00A43EB7"/>
    <w:rsid w:val="00A45071"/>
    <w:rsid w:val="00A451E3"/>
    <w:rsid w:val="00A4525C"/>
    <w:rsid w:val="00A47428"/>
    <w:rsid w:val="00A47DE1"/>
    <w:rsid w:val="00A514F4"/>
    <w:rsid w:val="00A51E8E"/>
    <w:rsid w:val="00A52082"/>
    <w:rsid w:val="00A549BD"/>
    <w:rsid w:val="00A5668B"/>
    <w:rsid w:val="00A57110"/>
    <w:rsid w:val="00A6110D"/>
    <w:rsid w:val="00A61E6B"/>
    <w:rsid w:val="00A62351"/>
    <w:rsid w:val="00A64509"/>
    <w:rsid w:val="00A64EDF"/>
    <w:rsid w:val="00A65D2C"/>
    <w:rsid w:val="00A703DF"/>
    <w:rsid w:val="00A7050D"/>
    <w:rsid w:val="00A71EA6"/>
    <w:rsid w:val="00A72977"/>
    <w:rsid w:val="00A72F92"/>
    <w:rsid w:val="00A736A0"/>
    <w:rsid w:val="00A7468B"/>
    <w:rsid w:val="00A75761"/>
    <w:rsid w:val="00A76391"/>
    <w:rsid w:val="00A77A03"/>
    <w:rsid w:val="00A807D0"/>
    <w:rsid w:val="00A8329F"/>
    <w:rsid w:val="00A8549D"/>
    <w:rsid w:val="00A85644"/>
    <w:rsid w:val="00A8747C"/>
    <w:rsid w:val="00A87A10"/>
    <w:rsid w:val="00A87E78"/>
    <w:rsid w:val="00A90D07"/>
    <w:rsid w:val="00A91FD7"/>
    <w:rsid w:val="00A93BFF"/>
    <w:rsid w:val="00A96032"/>
    <w:rsid w:val="00A96C90"/>
    <w:rsid w:val="00A97ACF"/>
    <w:rsid w:val="00A97E91"/>
    <w:rsid w:val="00AA0B7E"/>
    <w:rsid w:val="00AA1212"/>
    <w:rsid w:val="00AA1F25"/>
    <w:rsid w:val="00AA29E5"/>
    <w:rsid w:val="00AA3703"/>
    <w:rsid w:val="00AA4D4B"/>
    <w:rsid w:val="00AA6CDE"/>
    <w:rsid w:val="00AB0C65"/>
    <w:rsid w:val="00AB226C"/>
    <w:rsid w:val="00AB6034"/>
    <w:rsid w:val="00AB78C2"/>
    <w:rsid w:val="00AB7AA2"/>
    <w:rsid w:val="00AC19E2"/>
    <w:rsid w:val="00AC328B"/>
    <w:rsid w:val="00AC366E"/>
    <w:rsid w:val="00AC6654"/>
    <w:rsid w:val="00AC7A8C"/>
    <w:rsid w:val="00AD2909"/>
    <w:rsid w:val="00AD57E2"/>
    <w:rsid w:val="00AD62C9"/>
    <w:rsid w:val="00AD675D"/>
    <w:rsid w:val="00AD6EFF"/>
    <w:rsid w:val="00AE1E12"/>
    <w:rsid w:val="00AE2753"/>
    <w:rsid w:val="00AE3184"/>
    <w:rsid w:val="00AE3298"/>
    <w:rsid w:val="00AE3A0D"/>
    <w:rsid w:val="00AE5CA1"/>
    <w:rsid w:val="00AE6871"/>
    <w:rsid w:val="00AE6F57"/>
    <w:rsid w:val="00AE74D8"/>
    <w:rsid w:val="00AF124F"/>
    <w:rsid w:val="00AF17FE"/>
    <w:rsid w:val="00AF1FB6"/>
    <w:rsid w:val="00AF3058"/>
    <w:rsid w:val="00AF3845"/>
    <w:rsid w:val="00AF40B9"/>
    <w:rsid w:val="00AF49EC"/>
    <w:rsid w:val="00AF5265"/>
    <w:rsid w:val="00AF5EE3"/>
    <w:rsid w:val="00AF63FF"/>
    <w:rsid w:val="00AF6B5B"/>
    <w:rsid w:val="00AF6CE4"/>
    <w:rsid w:val="00AF7D8F"/>
    <w:rsid w:val="00B006F9"/>
    <w:rsid w:val="00B00E5E"/>
    <w:rsid w:val="00B0136B"/>
    <w:rsid w:val="00B01CB8"/>
    <w:rsid w:val="00B056E5"/>
    <w:rsid w:val="00B10FE7"/>
    <w:rsid w:val="00B11BB6"/>
    <w:rsid w:val="00B127C9"/>
    <w:rsid w:val="00B12AB7"/>
    <w:rsid w:val="00B139DB"/>
    <w:rsid w:val="00B144A1"/>
    <w:rsid w:val="00B15984"/>
    <w:rsid w:val="00B159C5"/>
    <w:rsid w:val="00B17A14"/>
    <w:rsid w:val="00B20498"/>
    <w:rsid w:val="00B215A0"/>
    <w:rsid w:val="00B216D6"/>
    <w:rsid w:val="00B21996"/>
    <w:rsid w:val="00B21D0B"/>
    <w:rsid w:val="00B220A3"/>
    <w:rsid w:val="00B226C8"/>
    <w:rsid w:val="00B23DA8"/>
    <w:rsid w:val="00B261E8"/>
    <w:rsid w:val="00B2692B"/>
    <w:rsid w:val="00B27913"/>
    <w:rsid w:val="00B30231"/>
    <w:rsid w:val="00B30548"/>
    <w:rsid w:val="00B32724"/>
    <w:rsid w:val="00B32FB7"/>
    <w:rsid w:val="00B356B6"/>
    <w:rsid w:val="00B35F30"/>
    <w:rsid w:val="00B36453"/>
    <w:rsid w:val="00B3704F"/>
    <w:rsid w:val="00B37413"/>
    <w:rsid w:val="00B40FC8"/>
    <w:rsid w:val="00B42B9C"/>
    <w:rsid w:val="00B43A20"/>
    <w:rsid w:val="00B451B6"/>
    <w:rsid w:val="00B511B5"/>
    <w:rsid w:val="00B52F7E"/>
    <w:rsid w:val="00B545B7"/>
    <w:rsid w:val="00B55F6B"/>
    <w:rsid w:val="00B56388"/>
    <w:rsid w:val="00B61372"/>
    <w:rsid w:val="00B614F9"/>
    <w:rsid w:val="00B615A1"/>
    <w:rsid w:val="00B61616"/>
    <w:rsid w:val="00B62A9E"/>
    <w:rsid w:val="00B63EE0"/>
    <w:rsid w:val="00B64DC4"/>
    <w:rsid w:val="00B67737"/>
    <w:rsid w:val="00B67766"/>
    <w:rsid w:val="00B72251"/>
    <w:rsid w:val="00B738F6"/>
    <w:rsid w:val="00B73ED9"/>
    <w:rsid w:val="00B7450D"/>
    <w:rsid w:val="00B75535"/>
    <w:rsid w:val="00B75CEB"/>
    <w:rsid w:val="00B76526"/>
    <w:rsid w:val="00B76833"/>
    <w:rsid w:val="00B81148"/>
    <w:rsid w:val="00B8264C"/>
    <w:rsid w:val="00B82856"/>
    <w:rsid w:val="00B82B15"/>
    <w:rsid w:val="00B8300F"/>
    <w:rsid w:val="00B837FE"/>
    <w:rsid w:val="00B90636"/>
    <w:rsid w:val="00B9069F"/>
    <w:rsid w:val="00B91E8F"/>
    <w:rsid w:val="00B92DA1"/>
    <w:rsid w:val="00B9429F"/>
    <w:rsid w:val="00B95631"/>
    <w:rsid w:val="00B964FC"/>
    <w:rsid w:val="00BA06C6"/>
    <w:rsid w:val="00BA17CB"/>
    <w:rsid w:val="00BA1BAE"/>
    <w:rsid w:val="00BA1DBC"/>
    <w:rsid w:val="00BA206E"/>
    <w:rsid w:val="00BA226A"/>
    <w:rsid w:val="00BA2BDE"/>
    <w:rsid w:val="00BA2F5A"/>
    <w:rsid w:val="00BA4013"/>
    <w:rsid w:val="00BA4836"/>
    <w:rsid w:val="00BA51FC"/>
    <w:rsid w:val="00BA5775"/>
    <w:rsid w:val="00BA69B5"/>
    <w:rsid w:val="00BA6E36"/>
    <w:rsid w:val="00BA715B"/>
    <w:rsid w:val="00BB2464"/>
    <w:rsid w:val="00BB31FB"/>
    <w:rsid w:val="00BB361C"/>
    <w:rsid w:val="00BB3BBC"/>
    <w:rsid w:val="00BB439F"/>
    <w:rsid w:val="00BB596B"/>
    <w:rsid w:val="00BB6063"/>
    <w:rsid w:val="00BB6DF6"/>
    <w:rsid w:val="00BB73B2"/>
    <w:rsid w:val="00BC08EA"/>
    <w:rsid w:val="00BC186E"/>
    <w:rsid w:val="00BC41EA"/>
    <w:rsid w:val="00BC428C"/>
    <w:rsid w:val="00BC7A51"/>
    <w:rsid w:val="00BC7B39"/>
    <w:rsid w:val="00BD11DE"/>
    <w:rsid w:val="00BD18F1"/>
    <w:rsid w:val="00BD1FEF"/>
    <w:rsid w:val="00BD270C"/>
    <w:rsid w:val="00BD32B5"/>
    <w:rsid w:val="00BD371B"/>
    <w:rsid w:val="00BD5895"/>
    <w:rsid w:val="00BD6B2F"/>
    <w:rsid w:val="00BE0B45"/>
    <w:rsid w:val="00BE4047"/>
    <w:rsid w:val="00BE692D"/>
    <w:rsid w:val="00BE6A6D"/>
    <w:rsid w:val="00BF24E9"/>
    <w:rsid w:val="00BF2574"/>
    <w:rsid w:val="00BF25B1"/>
    <w:rsid w:val="00BF2667"/>
    <w:rsid w:val="00BF2BFC"/>
    <w:rsid w:val="00BF2F81"/>
    <w:rsid w:val="00BF37A5"/>
    <w:rsid w:val="00BF39BE"/>
    <w:rsid w:val="00BF4615"/>
    <w:rsid w:val="00BF615A"/>
    <w:rsid w:val="00BF64FF"/>
    <w:rsid w:val="00C0394F"/>
    <w:rsid w:val="00C065C3"/>
    <w:rsid w:val="00C101AE"/>
    <w:rsid w:val="00C11346"/>
    <w:rsid w:val="00C11F86"/>
    <w:rsid w:val="00C143E2"/>
    <w:rsid w:val="00C170D6"/>
    <w:rsid w:val="00C21682"/>
    <w:rsid w:val="00C234D5"/>
    <w:rsid w:val="00C23A4F"/>
    <w:rsid w:val="00C23E8E"/>
    <w:rsid w:val="00C26C8D"/>
    <w:rsid w:val="00C2752F"/>
    <w:rsid w:val="00C31DD3"/>
    <w:rsid w:val="00C32953"/>
    <w:rsid w:val="00C35D13"/>
    <w:rsid w:val="00C37CBE"/>
    <w:rsid w:val="00C46940"/>
    <w:rsid w:val="00C46E3B"/>
    <w:rsid w:val="00C46FBB"/>
    <w:rsid w:val="00C4794D"/>
    <w:rsid w:val="00C51092"/>
    <w:rsid w:val="00C54755"/>
    <w:rsid w:val="00C555AC"/>
    <w:rsid w:val="00C57605"/>
    <w:rsid w:val="00C65B2C"/>
    <w:rsid w:val="00C71275"/>
    <w:rsid w:val="00C73E30"/>
    <w:rsid w:val="00C74201"/>
    <w:rsid w:val="00C75108"/>
    <w:rsid w:val="00C75FAF"/>
    <w:rsid w:val="00C765E5"/>
    <w:rsid w:val="00C7725C"/>
    <w:rsid w:val="00C80811"/>
    <w:rsid w:val="00C8316C"/>
    <w:rsid w:val="00C83D27"/>
    <w:rsid w:val="00C8594A"/>
    <w:rsid w:val="00C86CC2"/>
    <w:rsid w:val="00C904A7"/>
    <w:rsid w:val="00C926E8"/>
    <w:rsid w:val="00C92B01"/>
    <w:rsid w:val="00C955EC"/>
    <w:rsid w:val="00C95683"/>
    <w:rsid w:val="00C96DBE"/>
    <w:rsid w:val="00C96FE7"/>
    <w:rsid w:val="00CA044B"/>
    <w:rsid w:val="00CA12C7"/>
    <w:rsid w:val="00CA3638"/>
    <w:rsid w:val="00CA5274"/>
    <w:rsid w:val="00CA7DDF"/>
    <w:rsid w:val="00CB17BC"/>
    <w:rsid w:val="00CB185C"/>
    <w:rsid w:val="00CB2C49"/>
    <w:rsid w:val="00CB2D68"/>
    <w:rsid w:val="00CB72A1"/>
    <w:rsid w:val="00CC0130"/>
    <w:rsid w:val="00CC16B9"/>
    <w:rsid w:val="00CC261F"/>
    <w:rsid w:val="00CC4E10"/>
    <w:rsid w:val="00CC5980"/>
    <w:rsid w:val="00CC6016"/>
    <w:rsid w:val="00CC6777"/>
    <w:rsid w:val="00CC6912"/>
    <w:rsid w:val="00CC6BB6"/>
    <w:rsid w:val="00CC6BBE"/>
    <w:rsid w:val="00CC7829"/>
    <w:rsid w:val="00CD02F9"/>
    <w:rsid w:val="00CD611C"/>
    <w:rsid w:val="00CD6969"/>
    <w:rsid w:val="00CD75E9"/>
    <w:rsid w:val="00CE3753"/>
    <w:rsid w:val="00CE3F41"/>
    <w:rsid w:val="00CE5C98"/>
    <w:rsid w:val="00CF0004"/>
    <w:rsid w:val="00CF2B4D"/>
    <w:rsid w:val="00CF2BEF"/>
    <w:rsid w:val="00CF4288"/>
    <w:rsid w:val="00CF6407"/>
    <w:rsid w:val="00CF6847"/>
    <w:rsid w:val="00CF7D9A"/>
    <w:rsid w:val="00D015C3"/>
    <w:rsid w:val="00D04063"/>
    <w:rsid w:val="00D04ECC"/>
    <w:rsid w:val="00D055D6"/>
    <w:rsid w:val="00D1152F"/>
    <w:rsid w:val="00D1159C"/>
    <w:rsid w:val="00D126B7"/>
    <w:rsid w:val="00D127B3"/>
    <w:rsid w:val="00D12B9D"/>
    <w:rsid w:val="00D149C7"/>
    <w:rsid w:val="00D172A1"/>
    <w:rsid w:val="00D17B76"/>
    <w:rsid w:val="00D214F7"/>
    <w:rsid w:val="00D21920"/>
    <w:rsid w:val="00D219B5"/>
    <w:rsid w:val="00D23ACD"/>
    <w:rsid w:val="00D26124"/>
    <w:rsid w:val="00D269D1"/>
    <w:rsid w:val="00D274AA"/>
    <w:rsid w:val="00D2766A"/>
    <w:rsid w:val="00D27BDB"/>
    <w:rsid w:val="00D30C55"/>
    <w:rsid w:val="00D312B6"/>
    <w:rsid w:val="00D32694"/>
    <w:rsid w:val="00D32B08"/>
    <w:rsid w:val="00D33C9A"/>
    <w:rsid w:val="00D33D88"/>
    <w:rsid w:val="00D35253"/>
    <w:rsid w:val="00D376FC"/>
    <w:rsid w:val="00D40845"/>
    <w:rsid w:val="00D40C5D"/>
    <w:rsid w:val="00D41ECD"/>
    <w:rsid w:val="00D42AD1"/>
    <w:rsid w:val="00D44A56"/>
    <w:rsid w:val="00D455E8"/>
    <w:rsid w:val="00D459DF"/>
    <w:rsid w:val="00D46AC2"/>
    <w:rsid w:val="00D47930"/>
    <w:rsid w:val="00D50AFC"/>
    <w:rsid w:val="00D51780"/>
    <w:rsid w:val="00D569EB"/>
    <w:rsid w:val="00D57F71"/>
    <w:rsid w:val="00D6235F"/>
    <w:rsid w:val="00D63CDD"/>
    <w:rsid w:val="00D63F14"/>
    <w:rsid w:val="00D64755"/>
    <w:rsid w:val="00D65D16"/>
    <w:rsid w:val="00D6735E"/>
    <w:rsid w:val="00D67416"/>
    <w:rsid w:val="00D67FB0"/>
    <w:rsid w:val="00D7023D"/>
    <w:rsid w:val="00D7085D"/>
    <w:rsid w:val="00D71373"/>
    <w:rsid w:val="00D7226A"/>
    <w:rsid w:val="00D7306E"/>
    <w:rsid w:val="00D73B19"/>
    <w:rsid w:val="00D7442E"/>
    <w:rsid w:val="00D744AE"/>
    <w:rsid w:val="00D75D7D"/>
    <w:rsid w:val="00D76360"/>
    <w:rsid w:val="00D8114D"/>
    <w:rsid w:val="00D8684F"/>
    <w:rsid w:val="00D87533"/>
    <w:rsid w:val="00D9007B"/>
    <w:rsid w:val="00D90505"/>
    <w:rsid w:val="00D90CB6"/>
    <w:rsid w:val="00D92F22"/>
    <w:rsid w:val="00D9306D"/>
    <w:rsid w:val="00D9358E"/>
    <w:rsid w:val="00D946F7"/>
    <w:rsid w:val="00D95B56"/>
    <w:rsid w:val="00D95CBE"/>
    <w:rsid w:val="00DA0FA2"/>
    <w:rsid w:val="00DA11CF"/>
    <w:rsid w:val="00DA16A0"/>
    <w:rsid w:val="00DA291E"/>
    <w:rsid w:val="00DA3067"/>
    <w:rsid w:val="00DA3E17"/>
    <w:rsid w:val="00DA6949"/>
    <w:rsid w:val="00DA72F9"/>
    <w:rsid w:val="00DB13A7"/>
    <w:rsid w:val="00DB1C32"/>
    <w:rsid w:val="00DB2AD6"/>
    <w:rsid w:val="00DB3902"/>
    <w:rsid w:val="00DB4752"/>
    <w:rsid w:val="00DB542D"/>
    <w:rsid w:val="00DB606B"/>
    <w:rsid w:val="00DC022D"/>
    <w:rsid w:val="00DC2376"/>
    <w:rsid w:val="00DC23A5"/>
    <w:rsid w:val="00DC26A3"/>
    <w:rsid w:val="00DC5019"/>
    <w:rsid w:val="00DC53C4"/>
    <w:rsid w:val="00DC5989"/>
    <w:rsid w:val="00DC6493"/>
    <w:rsid w:val="00DC6AE6"/>
    <w:rsid w:val="00DC76CA"/>
    <w:rsid w:val="00DC7E53"/>
    <w:rsid w:val="00DD1910"/>
    <w:rsid w:val="00DD40EB"/>
    <w:rsid w:val="00DD4F36"/>
    <w:rsid w:val="00DD7CBD"/>
    <w:rsid w:val="00DE2568"/>
    <w:rsid w:val="00DE2EA9"/>
    <w:rsid w:val="00DE3CBF"/>
    <w:rsid w:val="00DE42EA"/>
    <w:rsid w:val="00DE4ACB"/>
    <w:rsid w:val="00DE5157"/>
    <w:rsid w:val="00DE5B2B"/>
    <w:rsid w:val="00DE6099"/>
    <w:rsid w:val="00DE60F9"/>
    <w:rsid w:val="00DE7141"/>
    <w:rsid w:val="00DE72F6"/>
    <w:rsid w:val="00DF1DFE"/>
    <w:rsid w:val="00DF2136"/>
    <w:rsid w:val="00DF3707"/>
    <w:rsid w:val="00DF4138"/>
    <w:rsid w:val="00DF4F0B"/>
    <w:rsid w:val="00DF54E2"/>
    <w:rsid w:val="00DF67EB"/>
    <w:rsid w:val="00DF7AA6"/>
    <w:rsid w:val="00DFE399"/>
    <w:rsid w:val="00E00D93"/>
    <w:rsid w:val="00E02598"/>
    <w:rsid w:val="00E02608"/>
    <w:rsid w:val="00E02749"/>
    <w:rsid w:val="00E11672"/>
    <w:rsid w:val="00E1314C"/>
    <w:rsid w:val="00E1322D"/>
    <w:rsid w:val="00E16106"/>
    <w:rsid w:val="00E1638D"/>
    <w:rsid w:val="00E1644B"/>
    <w:rsid w:val="00E16EC4"/>
    <w:rsid w:val="00E16FDB"/>
    <w:rsid w:val="00E23C46"/>
    <w:rsid w:val="00E240F5"/>
    <w:rsid w:val="00E2449A"/>
    <w:rsid w:val="00E276F2"/>
    <w:rsid w:val="00E31B72"/>
    <w:rsid w:val="00E32245"/>
    <w:rsid w:val="00E3247B"/>
    <w:rsid w:val="00E32672"/>
    <w:rsid w:val="00E33404"/>
    <w:rsid w:val="00E37D62"/>
    <w:rsid w:val="00E4211E"/>
    <w:rsid w:val="00E425C1"/>
    <w:rsid w:val="00E42A69"/>
    <w:rsid w:val="00E44048"/>
    <w:rsid w:val="00E453AB"/>
    <w:rsid w:val="00E474CE"/>
    <w:rsid w:val="00E50887"/>
    <w:rsid w:val="00E515CC"/>
    <w:rsid w:val="00E518F8"/>
    <w:rsid w:val="00E5416C"/>
    <w:rsid w:val="00E54CD5"/>
    <w:rsid w:val="00E56CF8"/>
    <w:rsid w:val="00E5C199"/>
    <w:rsid w:val="00E61748"/>
    <w:rsid w:val="00E6175D"/>
    <w:rsid w:val="00E62157"/>
    <w:rsid w:val="00E6244E"/>
    <w:rsid w:val="00E63D9E"/>
    <w:rsid w:val="00E647E0"/>
    <w:rsid w:val="00E6564A"/>
    <w:rsid w:val="00E673A4"/>
    <w:rsid w:val="00E6768E"/>
    <w:rsid w:val="00E7094F"/>
    <w:rsid w:val="00E71792"/>
    <w:rsid w:val="00E73008"/>
    <w:rsid w:val="00E7432D"/>
    <w:rsid w:val="00E75E61"/>
    <w:rsid w:val="00E771E7"/>
    <w:rsid w:val="00E7791D"/>
    <w:rsid w:val="00E81308"/>
    <w:rsid w:val="00E814D0"/>
    <w:rsid w:val="00E81806"/>
    <w:rsid w:val="00E81B05"/>
    <w:rsid w:val="00E84707"/>
    <w:rsid w:val="00E861F4"/>
    <w:rsid w:val="00E864AA"/>
    <w:rsid w:val="00E86721"/>
    <w:rsid w:val="00E86F90"/>
    <w:rsid w:val="00E8794E"/>
    <w:rsid w:val="00E915A6"/>
    <w:rsid w:val="00E919F2"/>
    <w:rsid w:val="00E919F5"/>
    <w:rsid w:val="00E92E64"/>
    <w:rsid w:val="00E92EB8"/>
    <w:rsid w:val="00E9533B"/>
    <w:rsid w:val="00EA0317"/>
    <w:rsid w:val="00EA421C"/>
    <w:rsid w:val="00EA4574"/>
    <w:rsid w:val="00EA5D94"/>
    <w:rsid w:val="00EA605F"/>
    <w:rsid w:val="00EA6A7B"/>
    <w:rsid w:val="00EA70CE"/>
    <w:rsid w:val="00EA7D9D"/>
    <w:rsid w:val="00EB337C"/>
    <w:rsid w:val="00EB5F8A"/>
    <w:rsid w:val="00EB7BC3"/>
    <w:rsid w:val="00EC03BE"/>
    <w:rsid w:val="00EC0781"/>
    <w:rsid w:val="00EC10EA"/>
    <w:rsid w:val="00EC208B"/>
    <w:rsid w:val="00EC57D6"/>
    <w:rsid w:val="00EC6D6E"/>
    <w:rsid w:val="00EC7394"/>
    <w:rsid w:val="00ED1572"/>
    <w:rsid w:val="00ED158E"/>
    <w:rsid w:val="00ED4168"/>
    <w:rsid w:val="00ED49EF"/>
    <w:rsid w:val="00ED52DE"/>
    <w:rsid w:val="00ED5889"/>
    <w:rsid w:val="00ED5936"/>
    <w:rsid w:val="00EE1806"/>
    <w:rsid w:val="00EE2EA8"/>
    <w:rsid w:val="00EE34C1"/>
    <w:rsid w:val="00EE4080"/>
    <w:rsid w:val="00EE4AF3"/>
    <w:rsid w:val="00EE4CF6"/>
    <w:rsid w:val="00EE601C"/>
    <w:rsid w:val="00EE6669"/>
    <w:rsid w:val="00EE6D25"/>
    <w:rsid w:val="00EE6E3E"/>
    <w:rsid w:val="00EE711F"/>
    <w:rsid w:val="00EE7E6E"/>
    <w:rsid w:val="00EF1EC5"/>
    <w:rsid w:val="00EF299D"/>
    <w:rsid w:val="00EF315A"/>
    <w:rsid w:val="00EF3FD6"/>
    <w:rsid w:val="00EF45C5"/>
    <w:rsid w:val="00EF4F9B"/>
    <w:rsid w:val="00EF5D58"/>
    <w:rsid w:val="00EF5E3D"/>
    <w:rsid w:val="00EF7DE2"/>
    <w:rsid w:val="00F00A88"/>
    <w:rsid w:val="00F010D0"/>
    <w:rsid w:val="00F04564"/>
    <w:rsid w:val="00F05302"/>
    <w:rsid w:val="00F06812"/>
    <w:rsid w:val="00F071DA"/>
    <w:rsid w:val="00F10C08"/>
    <w:rsid w:val="00F11469"/>
    <w:rsid w:val="00F115B9"/>
    <w:rsid w:val="00F1290E"/>
    <w:rsid w:val="00F12BD0"/>
    <w:rsid w:val="00F14520"/>
    <w:rsid w:val="00F15812"/>
    <w:rsid w:val="00F159C1"/>
    <w:rsid w:val="00F160A6"/>
    <w:rsid w:val="00F202AA"/>
    <w:rsid w:val="00F212CA"/>
    <w:rsid w:val="00F21549"/>
    <w:rsid w:val="00F24029"/>
    <w:rsid w:val="00F24273"/>
    <w:rsid w:val="00F25982"/>
    <w:rsid w:val="00F259B5"/>
    <w:rsid w:val="00F268ED"/>
    <w:rsid w:val="00F304EF"/>
    <w:rsid w:val="00F30CA1"/>
    <w:rsid w:val="00F318E9"/>
    <w:rsid w:val="00F31CA1"/>
    <w:rsid w:val="00F32C57"/>
    <w:rsid w:val="00F3463D"/>
    <w:rsid w:val="00F35718"/>
    <w:rsid w:val="00F3686F"/>
    <w:rsid w:val="00F371E8"/>
    <w:rsid w:val="00F409C1"/>
    <w:rsid w:val="00F41187"/>
    <w:rsid w:val="00F41E1A"/>
    <w:rsid w:val="00F4227D"/>
    <w:rsid w:val="00F42E83"/>
    <w:rsid w:val="00F43D0E"/>
    <w:rsid w:val="00F43F6C"/>
    <w:rsid w:val="00F441D8"/>
    <w:rsid w:val="00F45242"/>
    <w:rsid w:val="00F45E68"/>
    <w:rsid w:val="00F47B15"/>
    <w:rsid w:val="00F5146F"/>
    <w:rsid w:val="00F54319"/>
    <w:rsid w:val="00F545EF"/>
    <w:rsid w:val="00F549BE"/>
    <w:rsid w:val="00F55E33"/>
    <w:rsid w:val="00F568B5"/>
    <w:rsid w:val="00F60147"/>
    <w:rsid w:val="00F62BE0"/>
    <w:rsid w:val="00F6429B"/>
    <w:rsid w:val="00F65156"/>
    <w:rsid w:val="00F66E1B"/>
    <w:rsid w:val="00F66FE5"/>
    <w:rsid w:val="00F6727B"/>
    <w:rsid w:val="00F70A74"/>
    <w:rsid w:val="00F7118E"/>
    <w:rsid w:val="00F7445D"/>
    <w:rsid w:val="00F74FCA"/>
    <w:rsid w:val="00F75751"/>
    <w:rsid w:val="00F759C1"/>
    <w:rsid w:val="00F769F3"/>
    <w:rsid w:val="00F8246C"/>
    <w:rsid w:val="00F82776"/>
    <w:rsid w:val="00F8294E"/>
    <w:rsid w:val="00F91FE1"/>
    <w:rsid w:val="00F930F6"/>
    <w:rsid w:val="00F93FC7"/>
    <w:rsid w:val="00F941A4"/>
    <w:rsid w:val="00F96008"/>
    <w:rsid w:val="00FA45E3"/>
    <w:rsid w:val="00FA4C4B"/>
    <w:rsid w:val="00FA5457"/>
    <w:rsid w:val="00FA7397"/>
    <w:rsid w:val="00FB0717"/>
    <w:rsid w:val="00FB0CF0"/>
    <w:rsid w:val="00FB24ED"/>
    <w:rsid w:val="00FB2DCD"/>
    <w:rsid w:val="00FB3741"/>
    <w:rsid w:val="00FB4948"/>
    <w:rsid w:val="00FB51EC"/>
    <w:rsid w:val="00FB5533"/>
    <w:rsid w:val="00FB6F03"/>
    <w:rsid w:val="00FC02F0"/>
    <w:rsid w:val="00FC0C18"/>
    <w:rsid w:val="00FC12D6"/>
    <w:rsid w:val="00FC28B9"/>
    <w:rsid w:val="00FC2954"/>
    <w:rsid w:val="00FC43B1"/>
    <w:rsid w:val="00FC4A3D"/>
    <w:rsid w:val="00FC4E13"/>
    <w:rsid w:val="00FC5811"/>
    <w:rsid w:val="00FC639A"/>
    <w:rsid w:val="00FC8900"/>
    <w:rsid w:val="00FD01CA"/>
    <w:rsid w:val="00FD1641"/>
    <w:rsid w:val="00FD2372"/>
    <w:rsid w:val="00FD3751"/>
    <w:rsid w:val="00FD3CA5"/>
    <w:rsid w:val="00FD4355"/>
    <w:rsid w:val="00FD449C"/>
    <w:rsid w:val="00FD51D8"/>
    <w:rsid w:val="00FD6B74"/>
    <w:rsid w:val="00FD7148"/>
    <w:rsid w:val="00FD7970"/>
    <w:rsid w:val="00FE12B1"/>
    <w:rsid w:val="00FE3431"/>
    <w:rsid w:val="00FE346B"/>
    <w:rsid w:val="00FE370F"/>
    <w:rsid w:val="00FE40AE"/>
    <w:rsid w:val="00FE625D"/>
    <w:rsid w:val="00FE7254"/>
    <w:rsid w:val="00FE7374"/>
    <w:rsid w:val="00FF084D"/>
    <w:rsid w:val="00FF187C"/>
    <w:rsid w:val="00FF4415"/>
    <w:rsid w:val="00FF4480"/>
    <w:rsid w:val="00FF5117"/>
    <w:rsid w:val="00FF5A69"/>
    <w:rsid w:val="00FF5CA2"/>
    <w:rsid w:val="00FF5CF4"/>
    <w:rsid w:val="010A1712"/>
    <w:rsid w:val="013F0281"/>
    <w:rsid w:val="014C47DC"/>
    <w:rsid w:val="01534D3C"/>
    <w:rsid w:val="0155C0AB"/>
    <w:rsid w:val="0156D918"/>
    <w:rsid w:val="016F8E17"/>
    <w:rsid w:val="0187B876"/>
    <w:rsid w:val="01AD4351"/>
    <w:rsid w:val="01FF87E3"/>
    <w:rsid w:val="021AE0E4"/>
    <w:rsid w:val="02484EF4"/>
    <w:rsid w:val="0267C237"/>
    <w:rsid w:val="0294DC57"/>
    <w:rsid w:val="02CB75C6"/>
    <w:rsid w:val="02D89DBB"/>
    <w:rsid w:val="02E4A39A"/>
    <w:rsid w:val="02F40175"/>
    <w:rsid w:val="03136EFE"/>
    <w:rsid w:val="032B462B"/>
    <w:rsid w:val="035D91B3"/>
    <w:rsid w:val="03773B5B"/>
    <w:rsid w:val="03839425"/>
    <w:rsid w:val="038707C3"/>
    <w:rsid w:val="0390FEDA"/>
    <w:rsid w:val="039F1891"/>
    <w:rsid w:val="03E5D857"/>
    <w:rsid w:val="04063D84"/>
    <w:rsid w:val="045E27B8"/>
    <w:rsid w:val="045F5CD5"/>
    <w:rsid w:val="048B5DC3"/>
    <w:rsid w:val="04A98DEC"/>
    <w:rsid w:val="04CFDCFF"/>
    <w:rsid w:val="04ED4A31"/>
    <w:rsid w:val="05039FF9"/>
    <w:rsid w:val="05175898"/>
    <w:rsid w:val="054345B7"/>
    <w:rsid w:val="055D49A6"/>
    <w:rsid w:val="05B7B659"/>
    <w:rsid w:val="060C66A4"/>
    <w:rsid w:val="062C78F3"/>
    <w:rsid w:val="066A72E6"/>
    <w:rsid w:val="066D181B"/>
    <w:rsid w:val="06749B17"/>
    <w:rsid w:val="06A10FF5"/>
    <w:rsid w:val="06A4B099"/>
    <w:rsid w:val="06B00268"/>
    <w:rsid w:val="06DE75B2"/>
    <w:rsid w:val="06EADBCB"/>
    <w:rsid w:val="070087C4"/>
    <w:rsid w:val="0717B433"/>
    <w:rsid w:val="07371BE1"/>
    <w:rsid w:val="075DBC71"/>
    <w:rsid w:val="0774E0FD"/>
    <w:rsid w:val="077FF758"/>
    <w:rsid w:val="07AF697F"/>
    <w:rsid w:val="07E214FA"/>
    <w:rsid w:val="07EF5A5B"/>
    <w:rsid w:val="07F24D55"/>
    <w:rsid w:val="0827B02D"/>
    <w:rsid w:val="08385C09"/>
    <w:rsid w:val="083B1613"/>
    <w:rsid w:val="083F5AF8"/>
    <w:rsid w:val="08E96C4B"/>
    <w:rsid w:val="09052265"/>
    <w:rsid w:val="092E264E"/>
    <w:rsid w:val="0932CDF8"/>
    <w:rsid w:val="09382ACD"/>
    <w:rsid w:val="09529BC2"/>
    <w:rsid w:val="09A99CBC"/>
    <w:rsid w:val="09C89326"/>
    <w:rsid w:val="09F8502C"/>
    <w:rsid w:val="09FA99BD"/>
    <w:rsid w:val="0A1B272E"/>
    <w:rsid w:val="0A25F2C9"/>
    <w:rsid w:val="0A33835E"/>
    <w:rsid w:val="0A7160DC"/>
    <w:rsid w:val="0A71ADFD"/>
    <w:rsid w:val="0ADEC551"/>
    <w:rsid w:val="0B0745BE"/>
    <w:rsid w:val="0B0DB8C8"/>
    <w:rsid w:val="0B1C001A"/>
    <w:rsid w:val="0B23654D"/>
    <w:rsid w:val="0B247AA4"/>
    <w:rsid w:val="0BEEF007"/>
    <w:rsid w:val="0BFCA499"/>
    <w:rsid w:val="0C026414"/>
    <w:rsid w:val="0C2FAB6C"/>
    <w:rsid w:val="0C85A39C"/>
    <w:rsid w:val="0C98FAAE"/>
    <w:rsid w:val="0CCFFB6C"/>
    <w:rsid w:val="0CE56DA0"/>
    <w:rsid w:val="0CEAD43F"/>
    <w:rsid w:val="0D069357"/>
    <w:rsid w:val="0D4653BD"/>
    <w:rsid w:val="0D5D938B"/>
    <w:rsid w:val="0D621F13"/>
    <w:rsid w:val="0D8411D6"/>
    <w:rsid w:val="0DC2FB31"/>
    <w:rsid w:val="0E0766A7"/>
    <w:rsid w:val="0E127BB6"/>
    <w:rsid w:val="0E5EE3F1"/>
    <w:rsid w:val="0E85F294"/>
    <w:rsid w:val="0E97D175"/>
    <w:rsid w:val="0F3D6701"/>
    <w:rsid w:val="0F5CEF5D"/>
    <w:rsid w:val="0F87AC93"/>
    <w:rsid w:val="0F8BDB65"/>
    <w:rsid w:val="0FAE4C17"/>
    <w:rsid w:val="0FBA32DC"/>
    <w:rsid w:val="0FEE671F"/>
    <w:rsid w:val="10069D39"/>
    <w:rsid w:val="1009F9BD"/>
    <w:rsid w:val="106A1E01"/>
    <w:rsid w:val="1077D634"/>
    <w:rsid w:val="1085C0B0"/>
    <w:rsid w:val="109FE9C9"/>
    <w:rsid w:val="11244F7D"/>
    <w:rsid w:val="11294288"/>
    <w:rsid w:val="1138D26F"/>
    <w:rsid w:val="1177040E"/>
    <w:rsid w:val="1188F740"/>
    <w:rsid w:val="119C1E97"/>
    <w:rsid w:val="11C55B31"/>
    <w:rsid w:val="11D0B3FD"/>
    <w:rsid w:val="11DEC3D1"/>
    <w:rsid w:val="12031E4D"/>
    <w:rsid w:val="12068DB8"/>
    <w:rsid w:val="1220B5A5"/>
    <w:rsid w:val="1253CAA3"/>
    <w:rsid w:val="129C1FBB"/>
    <w:rsid w:val="12B5F108"/>
    <w:rsid w:val="12B87BF1"/>
    <w:rsid w:val="12C2ED63"/>
    <w:rsid w:val="12EF1330"/>
    <w:rsid w:val="13562B4C"/>
    <w:rsid w:val="135D3E1F"/>
    <w:rsid w:val="139BD1AD"/>
    <w:rsid w:val="13D4C295"/>
    <w:rsid w:val="1437195C"/>
    <w:rsid w:val="147C4623"/>
    <w:rsid w:val="148330D9"/>
    <w:rsid w:val="14B3464E"/>
    <w:rsid w:val="14D19D0E"/>
    <w:rsid w:val="14D773A8"/>
    <w:rsid w:val="14DCC865"/>
    <w:rsid w:val="14E12023"/>
    <w:rsid w:val="1523FBDA"/>
    <w:rsid w:val="154148D6"/>
    <w:rsid w:val="15433FAE"/>
    <w:rsid w:val="15707493"/>
    <w:rsid w:val="157092F6"/>
    <w:rsid w:val="158AEEF7"/>
    <w:rsid w:val="161A47A2"/>
    <w:rsid w:val="1621FD9A"/>
    <w:rsid w:val="163704D3"/>
    <w:rsid w:val="163C67F7"/>
    <w:rsid w:val="1680D2E3"/>
    <w:rsid w:val="1689E2D6"/>
    <w:rsid w:val="16C0D2E8"/>
    <w:rsid w:val="16D1DC76"/>
    <w:rsid w:val="16D2FB6E"/>
    <w:rsid w:val="16D7EF1A"/>
    <w:rsid w:val="16DF475E"/>
    <w:rsid w:val="170475D1"/>
    <w:rsid w:val="1772F8F2"/>
    <w:rsid w:val="17F1868E"/>
    <w:rsid w:val="1801B721"/>
    <w:rsid w:val="182DE195"/>
    <w:rsid w:val="183F52CD"/>
    <w:rsid w:val="1840577D"/>
    <w:rsid w:val="186FEBB1"/>
    <w:rsid w:val="1874C171"/>
    <w:rsid w:val="187B35D7"/>
    <w:rsid w:val="18BA6975"/>
    <w:rsid w:val="18C88C1E"/>
    <w:rsid w:val="194CE22C"/>
    <w:rsid w:val="1990502E"/>
    <w:rsid w:val="19AEC20C"/>
    <w:rsid w:val="19B10D7E"/>
    <w:rsid w:val="19DC6CBD"/>
    <w:rsid w:val="19E28A54"/>
    <w:rsid w:val="19EB3A55"/>
    <w:rsid w:val="19EC8350"/>
    <w:rsid w:val="1A3719C3"/>
    <w:rsid w:val="1A6010B3"/>
    <w:rsid w:val="1AA31FB9"/>
    <w:rsid w:val="1AFCE583"/>
    <w:rsid w:val="1B13FDF3"/>
    <w:rsid w:val="1B347942"/>
    <w:rsid w:val="1B3BCBF9"/>
    <w:rsid w:val="1B474B06"/>
    <w:rsid w:val="1B5CE8F4"/>
    <w:rsid w:val="1B80D947"/>
    <w:rsid w:val="1B95EB0C"/>
    <w:rsid w:val="1BECC922"/>
    <w:rsid w:val="1C027A5F"/>
    <w:rsid w:val="1C0CE898"/>
    <w:rsid w:val="1C5F85C8"/>
    <w:rsid w:val="1C62CAF5"/>
    <w:rsid w:val="1C7C16A4"/>
    <w:rsid w:val="1C98B5E4"/>
    <w:rsid w:val="1CD85B70"/>
    <w:rsid w:val="1CDF642C"/>
    <w:rsid w:val="1CECA2FD"/>
    <w:rsid w:val="1D042FBD"/>
    <w:rsid w:val="1D25AB95"/>
    <w:rsid w:val="1D5EE967"/>
    <w:rsid w:val="1D7ED551"/>
    <w:rsid w:val="1DC88E04"/>
    <w:rsid w:val="1DDC9E2C"/>
    <w:rsid w:val="1E3FCD87"/>
    <w:rsid w:val="1E667940"/>
    <w:rsid w:val="1E66EB87"/>
    <w:rsid w:val="1E6F3664"/>
    <w:rsid w:val="1E734A88"/>
    <w:rsid w:val="1E8B1377"/>
    <w:rsid w:val="1E956574"/>
    <w:rsid w:val="1EE4F592"/>
    <w:rsid w:val="1EF40D25"/>
    <w:rsid w:val="1F07F432"/>
    <w:rsid w:val="1F518081"/>
    <w:rsid w:val="1F7749D5"/>
    <w:rsid w:val="1F7D86C2"/>
    <w:rsid w:val="1F8EE846"/>
    <w:rsid w:val="1FA238B2"/>
    <w:rsid w:val="1FB370FD"/>
    <w:rsid w:val="1FC1A707"/>
    <w:rsid w:val="1FC7F1F1"/>
    <w:rsid w:val="1FCABB86"/>
    <w:rsid w:val="1FD9755E"/>
    <w:rsid w:val="1FE35C39"/>
    <w:rsid w:val="1FE46053"/>
    <w:rsid w:val="1FE7ED41"/>
    <w:rsid w:val="20048A15"/>
    <w:rsid w:val="2006E5EA"/>
    <w:rsid w:val="2007DF95"/>
    <w:rsid w:val="203BF263"/>
    <w:rsid w:val="2061AEFE"/>
    <w:rsid w:val="206F34D3"/>
    <w:rsid w:val="20913F47"/>
    <w:rsid w:val="20A431A1"/>
    <w:rsid w:val="20B47C81"/>
    <w:rsid w:val="21142E22"/>
    <w:rsid w:val="219956C3"/>
    <w:rsid w:val="21BC287D"/>
    <w:rsid w:val="21CDDFF6"/>
    <w:rsid w:val="21D8B721"/>
    <w:rsid w:val="21DF2926"/>
    <w:rsid w:val="21E42742"/>
    <w:rsid w:val="21E98C6C"/>
    <w:rsid w:val="21F19F53"/>
    <w:rsid w:val="21FB0EE8"/>
    <w:rsid w:val="22091926"/>
    <w:rsid w:val="2209EFAC"/>
    <w:rsid w:val="22408498"/>
    <w:rsid w:val="2247227F"/>
    <w:rsid w:val="2259AEE5"/>
    <w:rsid w:val="2262D48A"/>
    <w:rsid w:val="226B1455"/>
    <w:rsid w:val="22B606D8"/>
    <w:rsid w:val="22BD1B87"/>
    <w:rsid w:val="22ED4014"/>
    <w:rsid w:val="22EEF0D1"/>
    <w:rsid w:val="2317EB02"/>
    <w:rsid w:val="234A8211"/>
    <w:rsid w:val="2352E5E6"/>
    <w:rsid w:val="23578B1D"/>
    <w:rsid w:val="23A8E15E"/>
    <w:rsid w:val="23D21697"/>
    <w:rsid w:val="23E46908"/>
    <w:rsid w:val="23FA23A1"/>
    <w:rsid w:val="240B2860"/>
    <w:rsid w:val="244A37A2"/>
    <w:rsid w:val="2458CF0B"/>
    <w:rsid w:val="246EF5F3"/>
    <w:rsid w:val="248C35D6"/>
    <w:rsid w:val="24A7B768"/>
    <w:rsid w:val="24B6CD00"/>
    <w:rsid w:val="24BEC2CE"/>
    <w:rsid w:val="24C50150"/>
    <w:rsid w:val="24FC4DEF"/>
    <w:rsid w:val="25003328"/>
    <w:rsid w:val="25061B9B"/>
    <w:rsid w:val="2507BF61"/>
    <w:rsid w:val="251BC804"/>
    <w:rsid w:val="258879BE"/>
    <w:rsid w:val="25DE27BD"/>
    <w:rsid w:val="25ECC846"/>
    <w:rsid w:val="262B6D5E"/>
    <w:rsid w:val="2657E6C3"/>
    <w:rsid w:val="2665753F"/>
    <w:rsid w:val="266E111F"/>
    <w:rsid w:val="2674ACAC"/>
    <w:rsid w:val="26808038"/>
    <w:rsid w:val="2685DD93"/>
    <w:rsid w:val="269637BF"/>
    <w:rsid w:val="269DBABC"/>
    <w:rsid w:val="26EA7E12"/>
    <w:rsid w:val="27095EC4"/>
    <w:rsid w:val="276494DB"/>
    <w:rsid w:val="277C72DF"/>
    <w:rsid w:val="27B64F1A"/>
    <w:rsid w:val="27E35611"/>
    <w:rsid w:val="27FF030F"/>
    <w:rsid w:val="281196A4"/>
    <w:rsid w:val="28291DE8"/>
    <w:rsid w:val="286AEA2F"/>
    <w:rsid w:val="2893F7BE"/>
    <w:rsid w:val="28A42CB0"/>
    <w:rsid w:val="28BE5782"/>
    <w:rsid w:val="28D69D7F"/>
    <w:rsid w:val="28ED9752"/>
    <w:rsid w:val="28F9CDB5"/>
    <w:rsid w:val="2948201C"/>
    <w:rsid w:val="29602183"/>
    <w:rsid w:val="297F2672"/>
    <w:rsid w:val="29B5985D"/>
    <w:rsid w:val="29BEBBCF"/>
    <w:rsid w:val="29EF416A"/>
    <w:rsid w:val="29F0324A"/>
    <w:rsid w:val="29F138CC"/>
    <w:rsid w:val="2A0EC4A7"/>
    <w:rsid w:val="2A7E6CA5"/>
    <w:rsid w:val="2B05F434"/>
    <w:rsid w:val="2B353A17"/>
    <w:rsid w:val="2B4B3962"/>
    <w:rsid w:val="2B64BA95"/>
    <w:rsid w:val="2BB6262B"/>
    <w:rsid w:val="2BD1F683"/>
    <w:rsid w:val="2BD8B84A"/>
    <w:rsid w:val="2BDE43F4"/>
    <w:rsid w:val="2BF3B001"/>
    <w:rsid w:val="2C045120"/>
    <w:rsid w:val="2C115D0B"/>
    <w:rsid w:val="2C217778"/>
    <w:rsid w:val="2C2290A4"/>
    <w:rsid w:val="2C89DFB1"/>
    <w:rsid w:val="2C914A77"/>
    <w:rsid w:val="2CB6C734"/>
    <w:rsid w:val="2CBA2D16"/>
    <w:rsid w:val="2CE1AD55"/>
    <w:rsid w:val="2D02A335"/>
    <w:rsid w:val="2D04EE00"/>
    <w:rsid w:val="2D0568C0"/>
    <w:rsid w:val="2D30F282"/>
    <w:rsid w:val="2D34D048"/>
    <w:rsid w:val="2D6C1016"/>
    <w:rsid w:val="2D6D5BF2"/>
    <w:rsid w:val="2D7F1CAA"/>
    <w:rsid w:val="2DBC5A70"/>
    <w:rsid w:val="2DD535B3"/>
    <w:rsid w:val="2E616227"/>
    <w:rsid w:val="2E78564B"/>
    <w:rsid w:val="2E8EB30C"/>
    <w:rsid w:val="2E99074E"/>
    <w:rsid w:val="2EDD5153"/>
    <w:rsid w:val="2EEB06CA"/>
    <w:rsid w:val="2F04C6CA"/>
    <w:rsid w:val="2F9FB7C9"/>
    <w:rsid w:val="2FC81E96"/>
    <w:rsid w:val="2FF2AD58"/>
    <w:rsid w:val="302CF70A"/>
    <w:rsid w:val="3060ADC7"/>
    <w:rsid w:val="306299F1"/>
    <w:rsid w:val="30633518"/>
    <w:rsid w:val="30C01C38"/>
    <w:rsid w:val="30DE0211"/>
    <w:rsid w:val="3100DC93"/>
    <w:rsid w:val="3112802A"/>
    <w:rsid w:val="311F730E"/>
    <w:rsid w:val="312594C6"/>
    <w:rsid w:val="313FD901"/>
    <w:rsid w:val="314FA3F6"/>
    <w:rsid w:val="316DABEB"/>
    <w:rsid w:val="31914F00"/>
    <w:rsid w:val="319CB499"/>
    <w:rsid w:val="31B7D258"/>
    <w:rsid w:val="32143A43"/>
    <w:rsid w:val="32393E2D"/>
    <w:rsid w:val="323F8139"/>
    <w:rsid w:val="3250F72D"/>
    <w:rsid w:val="3268AE5D"/>
    <w:rsid w:val="3271D611"/>
    <w:rsid w:val="3289472D"/>
    <w:rsid w:val="32F337B8"/>
    <w:rsid w:val="32F49B7D"/>
    <w:rsid w:val="32F4DAB8"/>
    <w:rsid w:val="32FCD95B"/>
    <w:rsid w:val="339EDD19"/>
    <w:rsid w:val="33A2079A"/>
    <w:rsid w:val="33F86762"/>
    <w:rsid w:val="34167D69"/>
    <w:rsid w:val="343B6269"/>
    <w:rsid w:val="3450A268"/>
    <w:rsid w:val="3451386C"/>
    <w:rsid w:val="345387B1"/>
    <w:rsid w:val="34A45F5C"/>
    <w:rsid w:val="34E87A6F"/>
    <w:rsid w:val="34E947B6"/>
    <w:rsid w:val="35310430"/>
    <w:rsid w:val="354CD485"/>
    <w:rsid w:val="357959B3"/>
    <w:rsid w:val="357D5926"/>
    <w:rsid w:val="359F15E0"/>
    <w:rsid w:val="35A44704"/>
    <w:rsid w:val="35CD2189"/>
    <w:rsid w:val="364E9B87"/>
    <w:rsid w:val="36AF4580"/>
    <w:rsid w:val="36E050FA"/>
    <w:rsid w:val="37223D43"/>
    <w:rsid w:val="373BB08A"/>
    <w:rsid w:val="37478435"/>
    <w:rsid w:val="376D2557"/>
    <w:rsid w:val="3798364B"/>
    <w:rsid w:val="37BF91CF"/>
    <w:rsid w:val="37DD4600"/>
    <w:rsid w:val="386BBFAC"/>
    <w:rsid w:val="38741897"/>
    <w:rsid w:val="38802682"/>
    <w:rsid w:val="38A78B36"/>
    <w:rsid w:val="38AE1826"/>
    <w:rsid w:val="390769B0"/>
    <w:rsid w:val="3922BE47"/>
    <w:rsid w:val="395D4F83"/>
    <w:rsid w:val="396D10E1"/>
    <w:rsid w:val="3991E653"/>
    <w:rsid w:val="39B3DCE0"/>
    <w:rsid w:val="39D0784F"/>
    <w:rsid w:val="39E48952"/>
    <w:rsid w:val="39ED89EA"/>
    <w:rsid w:val="3A59DDEF"/>
    <w:rsid w:val="3A6F69CE"/>
    <w:rsid w:val="3A6FE4D2"/>
    <w:rsid w:val="3A72225C"/>
    <w:rsid w:val="3A7EA770"/>
    <w:rsid w:val="3A95435E"/>
    <w:rsid w:val="3A9F5FF1"/>
    <w:rsid w:val="3AD6BBF6"/>
    <w:rsid w:val="3B173DBA"/>
    <w:rsid w:val="3B4DCA80"/>
    <w:rsid w:val="3B5BEC7D"/>
    <w:rsid w:val="3B8B872D"/>
    <w:rsid w:val="3B9290FC"/>
    <w:rsid w:val="3BB8CE85"/>
    <w:rsid w:val="3BCD80D0"/>
    <w:rsid w:val="3C21A205"/>
    <w:rsid w:val="3C28E2F5"/>
    <w:rsid w:val="3C4BEF09"/>
    <w:rsid w:val="3C722D94"/>
    <w:rsid w:val="3C727A97"/>
    <w:rsid w:val="3C9C5292"/>
    <w:rsid w:val="3D2A0ECC"/>
    <w:rsid w:val="3D330D57"/>
    <w:rsid w:val="3D353C09"/>
    <w:rsid w:val="3D6A1A40"/>
    <w:rsid w:val="3DA62E0D"/>
    <w:rsid w:val="3DAA0230"/>
    <w:rsid w:val="3DC81AA8"/>
    <w:rsid w:val="3DDCD60D"/>
    <w:rsid w:val="3E337AB0"/>
    <w:rsid w:val="3E496EE6"/>
    <w:rsid w:val="3E75886A"/>
    <w:rsid w:val="3E75F6D3"/>
    <w:rsid w:val="3EA18493"/>
    <w:rsid w:val="3EB0FD96"/>
    <w:rsid w:val="3ED747B2"/>
    <w:rsid w:val="3EF8B526"/>
    <w:rsid w:val="3F4A1A67"/>
    <w:rsid w:val="3F4E3089"/>
    <w:rsid w:val="3F4E4347"/>
    <w:rsid w:val="3F54B0D1"/>
    <w:rsid w:val="3F6D74A1"/>
    <w:rsid w:val="3FB693A3"/>
    <w:rsid w:val="407237D2"/>
    <w:rsid w:val="408A765B"/>
    <w:rsid w:val="40B50135"/>
    <w:rsid w:val="411F72FE"/>
    <w:rsid w:val="411F74E2"/>
    <w:rsid w:val="416749D5"/>
    <w:rsid w:val="41984BC5"/>
    <w:rsid w:val="41A76E1D"/>
    <w:rsid w:val="41AD4E1C"/>
    <w:rsid w:val="423FA203"/>
    <w:rsid w:val="424C5CE8"/>
    <w:rsid w:val="427A5F2E"/>
    <w:rsid w:val="42B1F9E4"/>
    <w:rsid w:val="42D401D8"/>
    <w:rsid w:val="42F9848C"/>
    <w:rsid w:val="42F98632"/>
    <w:rsid w:val="4302D0F7"/>
    <w:rsid w:val="4306EBD3"/>
    <w:rsid w:val="432117D1"/>
    <w:rsid w:val="43B2B0AC"/>
    <w:rsid w:val="43F934E1"/>
    <w:rsid w:val="4402E7CF"/>
    <w:rsid w:val="44068CC1"/>
    <w:rsid w:val="44108C03"/>
    <w:rsid w:val="4419D94E"/>
    <w:rsid w:val="4477F438"/>
    <w:rsid w:val="4482A7C8"/>
    <w:rsid w:val="449B65A2"/>
    <w:rsid w:val="44C3CA35"/>
    <w:rsid w:val="44F808E1"/>
    <w:rsid w:val="458BCC33"/>
    <w:rsid w:val="459632A8"/>
    <w:rsid w:val="45A5548C"/>
    <w:rsid w:val="45A73979"/>
    <w:rsid w:val="45ADE840"/>
    <w:rsid w:val="45DC61A7"/>
    <w:rsid w:val="4602EB46"/>
    <w:rsid w:val="4624DD4A"/>
    <w:rsid w:val="464520D7"/>
    <w:rsid w:val="464B7455"/>
    <w:rsid w:val="465008E1"/>
    <w:rsid w:val="465F3D5B"/>
    <w:rsid w:val="46DBBAC5"/>
    <w:rsid w:val="4810DF10"/>
    <w:rsid w:val="481F72C6"/>
    <w:rsid w:val="4850E1D8"/>
    <w:rsid w:val="4874910E"/>
    <w:rsid w:val="48FD4927"/>
    <w:rsid w:val="48FFDBC6"/>
    <w:rsid w:val="4943562D"/>
    <w:rsid w:val="495F9699"/>
    <w:rsid w:val="498D6FCE"/>
    <w:rsid w:val="49AC114F"/>
    <w:rsid w:val="49D2963F"/>
    <w:rsid w:val="49D4A14C"/>
    <w:rsid w:val="49DA5302"/>
    <w:rsid w:val="49F83CA4"/>
    <w:rsid w:val="4A828F19"/>
    <w:rsid w:val="4A82FD1E"/>
    <w:rsid w:val="4B00A758"/>
    <w:rsid w:val="4B132561"/>
    <w:rsid w:val="4B1E15ED"/>
    <w:rsid w:val="4B6BFBF7"/>
    <w:rsid w:val="4B7CDE3D"/>
    <w:rsid w:val="4BD15639"/>
    <w:rsid w:val="4BD44F24"/>
    <w:rsid w:val="4C01D79B"/>
    <w:rsid w:val="4C4DDA60"/>
    <w:rsid w:val="4C4EC24E"/>
    <w:rsid w:val="4C701E27"/>
    <w:rsid w:val="4C707316"/>
    <w:rsid w:val="4C7D2698"/>
    <w:rsid w:val="4CB316D8"/>
    <w:rsid w:val="4CC24C2D"/>
    <w:rsid w:val="4CCDCC5F"/>
    <w:rsid w:val="4CFCE835"/>
    <w:rsid w:val="4D07E473"/>
    <w:rsid w:val="4D515D58"/>
    <w:rsid w:val="4D51B11D"/>
    <w:rsid w:val="4D733544"/>
    <w:rsid w:val="4D7F1AD8"/>
    <w:rsid w:val="4D8CBA65"/>
    <w:rsid w:val="4D8FA349"/>
    <w:rsid w:val="4D93070E"/>
    <w:rsid w:val="4DB2CA66"/>
    <w:rsid w:val="4DBFDC50"/>
    <w:rsid w:val="4DF2EB3A"/>
    <w:rsid w:val="4E1C3637"/>
    <w:rsid w:val="4E220E72"/>
    <w:rsid w:val="4E2FD698"/>
    <w:rsid w:val="4E65A174"/>
    <w:rsid w:val="4E759FA6"/>
    <w:rsid w:val="4E87C8EC"/>
    <w:rsid w:val="4EA37C92"/>
    <w:rsid w:val="4EB6BA3F"/>
    <w:rsid w:val="4F3D45E4"/>
    <w:rsid w:val="4F67F969"/>
    <w:rsid w:val="4F8D95A5"/>
    <w:rsid w:val="4FF50659"/>
    <w:rsid w:val="4FFA63B5"/>
    <w:rsid w:val="50258A53"/>
    <w:rsid w:val="50355282"/>
    <w:rsid w:val="50670858"/>
    <w:rsid w:val="50BD4F67"/>
    <w:rsid w:val="50DA957A"/>
    <w:rsid w:val="50DD0B1C"/>
    <w:rsid w:val="50E461D8"/>
    <w:rsid w:val="511BAA35"/>
    <w:rsid w:val="51261952"/>
    <w:rsid w:val="512B9E57"/>
    <w:rsid w:val="513F19C9"/>
    <w:rsid w:val="516F2069"/>
    <w:rsid w:val="519669ED"/>
    <w:rsid w:val="51C15AB4"/>
    <w:rsid w:val="51CF79F3"/>
    <w:rsid w:val="526C0B5F"/>
    <w:rsid w:val="526DFFDE"/>
    <w:rsid w:val="527C756C"/>
    <w:rsid w:val="52829D30"/>
    <w:rsid w:val="52845D56"/>
    <w:rsid w:val="528F8512"/>
    <w:rsid w:val="530051A7"/>
    <w:rsid w:val="530BB93D"/>
    <w:rsid w:val="532060EE"/>
    <w:rsid w:val="535AE11B"/>
    <w:rsid w:val="5397C2C9"/>
    <w:rsid w:val="53A16844"/>
    <w:rsid w:val="53B0A139"/>
    <w:rsid w:val="53B4C15E"/>
    <w:rsid w:val="53BBF1BC"/>
    <w:rsid w:val="53CA7002"/>
    <w:rsid w:val="53D4300E"/>
    <w:rsid w:val="54085358"/>
    <w:rsid w:val="54208AB2"/>
    <w:rsid w:val="542A3116"/>
    <w:rsid w:val="542F597A"/>
    <w:rsid w:val="543516AF"/>
    <w:rsid w:val="544F233D"/>
    <w:rsid w:val="546E4940"/>
    <w:rsid w:val="54816540"/>
    <w:rsid w:val="548F583D"/>
    <w:rsid w:val="54945A72"/>
    <w:rsid w:val="54973C1B"/>
    <w:rsid w:val="54EB5FFB"/>
    <w:rsid w:val="5559C7A6"/>
    <w:rsid w:val="556262F6"/>
    <w:rsid w:val="5566B814"/>
    <w:rsid w:val="5617DE23"/>
    <w:rsid w:val="561C26F1"/>
    <w:rsid w:val="56237F24"/>
    <w:rsid w:val="56627A9D"/>
    <w:rsid w:val="566D5039"/>
    <w:rsid w:val="56892A44"/>
    <w:rsid w:val="569281DD"/>
    <w:rsid w:val="5697635E"/>
    <w:rsid w:val="56B7C79C"/>
    <w:rsid w:val="56C6C61A"/>
    <w:rsid w:val="56DB2402"/>
    <w:rsid w:val="5707479E"/>
    <w:rsid w:val="571BE96C"/>
    <w:rsid w:val="5737357B"/>
    <w:rsid w:val="5760AC71"/>
    <w:rsid w:val="57D02F9E"/>
    <w:rsid w:val="58023AC6"/>
    <w:rsid w:val="580E11CB"/>
    <w:rsid w:val="5823843A"/>
    <w:rsid w:val="5852157B"/>
    <w:rsid w:val="588FCE76"/>
    <w:rsid w:val="58A6997A"/>
    <w:rsid w:val="58C659EE"/>
    <w:rsid w:val="58F8525A"/>
    <w:rsid w:val="58FA158C"/>
    <w:rsid w:val="58FFFE46"/>
    <w:rsid w:val="591CAEE0"/>
    <w:rsid w:val="59261329"/>
    <w:rsid w:val="598CFBAE"/>
    <w:rsid w:val="599E55FE"/>
    <w:rsid w:val="59AAFA1E"/>
    <w:rsid w:val="59CA229F"/>
    <w:rsid w:val="59DA5C6E"/>
    <w:rsid w:val="5A1B7811"/>
    <w:rsid w:val="5A2E65E4"/>
    <w:rsid w:val="5A365AF8"/>
    <w:rsid w:val="5A58E251"/>
    <w:rsid w:val="5A6F1D34"/>
    <w:rsid w:val="5AC3467A"/>
    <w:rsid w:val="5B990848"/>
    <w:rsid w:val="5BAB544A"/>
    <w:rsid w:val="5BD450A5"/>
    <w:rsid w:val="5BE6AE94"/>
    <w:rsid w:val="5BEE6921"/>
    <w:rsid w:val="5BF01B30"/>
    <w:rsid w:val="5C29DE5A"/>
    <w:rsid w:val="5C34BC6B"/>
    <w:rsid w:val="5C5EBC5D"/>
    <w:rsid w:val="5C76D882"/>
    <w:rsid w:val="5C82FCDC"/>
    <w:rsid w:val="5C85133A"/>
    <w:rsid w:val="5C869906"/>
    <w:rsid w:val="5CBA9008"/>
    <w:rsid w:val="5CC22918"/>
    <w:rsid w:val="5CCF93CC"/>
    <w:rsid w:val="5CEB932E"/>
    <w:rsid w:val="5D01C361"/>
    <w:rsid w:val="5D407D35"/>
    <w:rsid w:val="5D46A008"/>
    <w:rsid w:val="5D49DFF9"/>
    <w:rsid w:val="5D82AE8F"/>
    <w:rsid w:val="5DA6DC20"/>
    <w:rsid w:val="5DAE35C5"/>
    <w:rsid w:val="5DE23DCD"/>
    <w:rsid w:val="5E007D80"/>
    <w:rsid w:val="5E33763E"/>
    <w:rsid w:val="5E39B8A9"/>
    <w:rsid w:val="5E827340"/>
    <w:rsid w:val="5E9668BB"/>
    <w:rsid w:val="5E9E120A"/>
    <w:rsid w:val="5EB98A4B"/>
    <w:rsid w:val="5EE02EB0"/>
    <w:rsid w:val="5EE25E35"/>
    <w:rsid w:val="5F28CCDF"/>
    <w:rsid w:val="5F2DF6F8"/>
    <w:rsid w:val="5F915C24"/>
    <w:rsid w:val="5FAAACCA"/>
    <w:rsid w:val="600C1C4A"/>
    <w:rsid w:val="60224628"/>
    <w:rsid w:val="60736C11"/>
    <w:rsid w:val="609FE266"/>
    <w:rsid w:val="60BC6091"/>
    <w:rsid w:val="60C09C3E"/>
    <w:rsid w:val="60E9ABDB"/>
    <w:rsid w:val="60F16231"/>
    <w:rsid w:val="611109A1"/>
    <w:rsid w:val="6144590C"/>
    <w:rsid w:val="615FAE81"/>
    <w:rsid w:val="61B0E548"/>
    <w:rsid w:val="61BDA258"/>
    <w:rsid w:val="6245D0F5"/>
    <w:rsid w:val="62470921"/>
    <w:rsid w:val="62610D38"/>
    <w:rsid w:val="626EC3FD"/>
    <w:rsid w:val="62773118"/>
    <w:rsid w:val="627DB8C3"/>
    <w:rsid w:val="62A65D5B"/>
    <w:rsid w:val="62A82C60"/>
    <w:rsid w:val="62C72026"/>
    <w:rsid w:val="62D92DA6"/>
    <w:rsid w:val="63011623"/>
    <w:rsid w:val="631A797F"/>
    <w:rsid w:val="632D3AC1"/>
    <w:rsid w:val="6333181C"/>
    <w:rsid w:val="636E840C"/>
    <w:rsid w:val="6378C258"/>
    <w:rsid w:val="63B26077"/>
    <w:rsid w:val="63BD803E"/>
    <w:rsid w:val="63C5C969"/>
    <w:rsid w:val="63D1D961"/>
    <w:rsid w:val="63D34C22"/>
    <w:rsid w:val="640445BA"/>
    <w:rsid w:val="64650BE5"/>
    <w:rsid w:val="6492DC44"/>
    <w:rsid w:val="64AB1877"/>
    <w:rsid w:val="64B283DB"/>
    <w:rsid w:val="64B686FD"/>
    <w:rsid w:val="64B6F41D"/>
    <w:rsid w:val="64C59AEE"/>
    <w:rsid w:val="64FFDB12"/>
    <w:rsid w:val="65009CC7"/>
    <w:rsid w:val="6507E394"/>
    <w:rsid w:val="651E5454"/>
    <w:rsid w:val="651FFC22"/>
    <w:rsid w:val="652C1365"/>
    <w:rsid w:val="65D3D8FD"/>
    <w:rsid w:val="6616704D"/>
    <w:rsid w:val="661A2ABE"/>
    <w:rsid w:val="663AA5C9"/>
    <w:rsid w:val="66591C77"/>
    <w:rsid w:val="667D02C0"/>
    <w:rsid w:val="66B821BB"/>
    <w:rsid w:val="66C16729"/>
    <w:rsid w:val="66E1CA47"/>
    <w:rsid w:val="671D19AE"/>
    <w:rsid w:val="6729E220"/>
    <w:rsid w:val="673C05E5"/>
    <w:rsid w:val="6750423F"/>
    <w:rsid w:val="677BF0D9"/>
    <w:rsid w:val="67EA23FD"/>
    <w:rsid w:val="6811F400"/>
    <w:rsid w:val="68383685"/>
    <w:rsid w:val="68679EEF"/>
    <w:rsid w:val="686C21D0"/>
    <w:rsid w:val="68915F31"/>
    <w:rsid w:val="689237A2"/>
    <w:rsid w:val="68EE4F8D"/>
    <w:rsid w:val="690589F6"/>
    <w:rsid w:val="6924464E"/>
    <w:rsid w:val="696E0F1E"/>
    <w:rsid w:val="69852224"/>
    <w:rsid w:val="698C5782"/>
    <w:rsid w:val="69C0EB16"/>
    <w:rsid w:val="69C76206"/>
    <w:rsid w:val="69F907EB"/>
    <w:rsid w:val="6A08D3B1"/>
    <w:rsid w:val="6A245E53"/>
    <w:rsid w:val="6A2ACB42"/>
    <w:rsid w:val="6A2BD460"/>
    <w:rsid w:val="6A3BC80E"/>
    <w:rsid w:val="6A691AA0"/>
    <w:rsid w:val="6A6A88CE"/>
    <w:rsid w:val="6AB3919B"/>
    <w:rsid w:val="6AB4B72C"/>
    <w:rsid w:val="6AEB3640"/>
    <w:rsid w:val="6B2EC127"/>
    <w:rsid w:val="6B41F19E"/>
    <w:rsid w:val="6B9C1526"/>
    <w:rsid w:val="6BEDE424"/>
    <w:rsid w:val="6C0CC7F2"/>
    <w:rsid w:val="6C3A1B00"/>
    <w:rsid w:val="6C5C0FA7"/>
    <w:rsid w:val="6C7CD9D7"/>
    <w:rsid w:val="6C8B621E"/>
    <w:rsid w:val="6CAEF5E5"/>
    <w:rsid w:val="6CBBFE30"/>
    <w:rsid w:val="6CEEC9DD"/>
    <w:rsid w:val="6CF5026E"/>
    <w:rsid w:val="6D05E979"/>
    <w:rsid w:val="6D2B7623"/>
    <w:rsid w:val="6D33EB4D"/>
    <w:rsid w:val="6D36FC35"/>
    <w:rsid w:val="6D4185C5"/>
    <w:rsid w:val="6D47BD0E"/>
    <w:rsid w:val="6D4E570D"/>
    <w:rsid w:val="6D584970"/>
    <w:rsid w:val="6D7712DD"/>
    <w:rsid w:val="6D935648"/>
    <w:rsid w:val="6D95BF9B"/>
    <w:rsid w:val="6DB8647B"/>
    <w:rsid w:val="6DF45F13"/>
    <w:rsid w:val="6DF9BD03"/>
    <w:rsid w:val="6DFC1705"/>
    <w:rsid w:val="6E184A30"/>
    <w:rsid w:val="6E4DA9A1"/>
    <w:rsid w:val="6E5354D7"/>
    <w:rsid w:val="6E59E941"/>
    <w:rsid w:val="6E6BAAF4"/>
    <w:rsid w:val="6E81EC06"/>
    <w:rsid w:val="6EC319AE"/>
    <w:rsid w:val="6ED7D4B7"/>
    <w:rsid w:val="6EE0D61F"/>
    <w:rsid w:val="6EEA276E"/>
    <w:rsid w:val="6F0D15DE"/>
    <w:rsid w:val="6F126568"/>
    <w:rsid w:val="6F184ABC"/>
    <w:rsid w:val="6F21FB6B"/>
    <w:rsid w:val="6F51BE89"/>
    <w:rsid w:val="6F905AB6"/>
    <w:rsid w:val="6FD347D6"/>
    <w:rsid w:val="6FD407B1"/>
    <w:rsid w:val="6FD68518"/>
    <w:rsid w:val="701DD555"/>
    <w:rsid w:val="7075D847"/>
    <w:rsid w:val="70BAE7F8"/>
    <w:rsid w:val="710F83E9"/>
    <w:rsid w:val="7118C660"/>
    <w:rsid w:val="712D06C0"/>
    <w:rsid w:val="7136474C"/>
    <w:rsid w:val="713B891D"/>
    <w:rsid w:val="714A7AE9"/>
    <w:rsid w:val="7158A2AD"/>
    <w:rsid w:val="718F925E"/>
    <w:rsid w:val="71980AC5"/>
    <w:rsid w:val="71C94CB6"/>
    <w:rsid w:val="71EA2C57"/>
    <w:rsid w:val="72169C6C"/>
    <w:rsid w:val="72868101"/>
    <w:rsid w:val="728C415B"/>
    <w:rsid w:val="72C0FFCF"/>
    <w:rsid w:val="72CD1C25"/>
    <w:rsid w:val="7315FE28"/>
    <w:rsid w:val="731D860C"/>
    <w:rsid w:val="73231FDD"/>
    <w:rsid w:val="7331EABD"/>
    <w:rsid w:val="73322EF1"/>
    <w:rsid w:val="733ED6C5"/>
    <w:rsid w:val="73F5EA3A"/>
    <w:rsid w:val="745E2EA0"/>
    <w:rsid w:val="746275F1"/>
    <w:rsid w:val="74C197DE"/>
    <w:rsid w:val="75059089"/>
    <w:rsid w:val="7573E9C2"/>
    <w:rsid w:val="75B3AA38"/>
    <w:rsid w:val="75BBF58C"/>
    <w:rsid w:val="7616EE75"/>
    <w:rsid w:val="761E2A02"/>
    <w:rsid w:val="7667938B"/>
    <w:rsid w:val="7667E106"/>
    <w:rsid w:val="766EA606"/>
    <w:rsid w:val="767187EE"/>
    <w:rsid w:val="768F30E6"/>
    <w:rsid w:val="76A860DA"/>
    <w:rsid w:val="76B7EE4E"/>
    <w:rsid w:val="771FB4C0"/>
    <w:rsid w:val="7770123F"/>
    <w:rsid w:val="77ABE862"/>
    <w:rsid w:val="78138B9B"/>
    <w:rsid w:val="781FFA89"/>
    <w:rsid w:val="783D6288"/>
    <w:rsid w:val="784607E0"/>
    <w:rsid w:val="7850ABA8"/>
    <w:rsid w:val="78672CAA"/>
    <w:rsid w:val="786D1FB6"/>
    <w:rsid w:val="787CFABA"/>
    <w:rsid w:val="78A782FB"/>
    <w:rsid w:val="78B29DD6"/>
    <w:rsid w:val="78BA9E44"/>
    <w:rsid w:val="78EE6920"/>
    <w:rsid w:val="790986F5"/>
    <w:rsid w:val="790BE3C8"/>
    <w:rsid w:val="7911D92A"/>
    <w:rsid w:val="791B3F27"/>
    <w:rsid w:val="79487A12"/>
    <w:rsid w:val="797F2B51"/>
    <w:rsid w:val="798DDDD0"/>
    <w:rsid w:val="79E80E29"/>
    <w:rsid w:val="79F13FD0"/>
    <w:rsid w:val="7A18269A"/>
    <w:rsid w:val="7A19BE48"/>
    <w:rsid w:val="7A5C547B"/>
    <w:rsid w:val="7AD1D25B"/>
    <w:rsid w:val="7ADF8642"/>
    <w:rsid w:val="7AE92693"/>
    <w:rsid w:val="7B5FBE0F"/>
    <w:rsid w:val="7BBC4AD8"/>
    <w:rsid w:val="7BC71698"/>
    <w:rsid w:val="7BCA849C"/>
    <w:rsid w:val="7BCD6AAA"/>
    <w:rsid w:val="7BD7C4E2"/>
    <w:rsid w:val="7BE0C2E7"/>
    <w:rsid w:val="7C209A51"/>
    <w:rsid w:val="7C6CD52A"/>
    <w:rsid w:val="7C9487F9"/>
    <w:rsid w:val="7CA5837B"/>
    <w:rsid w:val="7CAB2EED"/>
    <w:rsid w:val="7CDE510E"/>
    <w:rsid w:val="7D0CF074"/>
    <w:rsid w:val="7D476FC0"/>
    <w:rsid w:val="7D562726"/>
    <w:rsid w:val="7D790037"/>
    <w:rsid w:val="7D8499F5"/>
    <w:rsid w:val="7D8516DA"/>
    <w:rsid w:val="7DA0C8D2"/>
    <w:rsid w:val="7DB26507"/>
    <w:rsid w:val="7DB91248"/>
    <w:rsid w:val="7DC6A9A3"/>
    <w:rsid w:val="7DE3D299"/>
    <w:rsid w:val="7DFE308B"/>
    <w:rsid w:val="7E109880"/>
    <w:rsid w:val="7E4A616D"/>
    <w:rsid w:val="7E6C4B4A"/>
    <w:rsid w:val="7E89E204"/>
    <w:rsid w:val="7EC25AFF"/>
    <w:rsid w:val="7ED11966"/>
    <w:rsid w:val="7EFE6D30"/>
    <w:rsid w:val="7F11A989"/>
    <w:rsid w:val="7F6F825B"/>
    <w:rsid w:val="7F77A668"/>
    <w:rsid w:val="7F8C2E8D"/>
    <w:rsid w:val="7F9D662F"/>
    <w:rsid w:val="7FD2A06D"/>
    <w:rsid w:val="7FE737F1"/>
    <w:rsid w:val="7FF1C91E"/>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3E77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esedilo"/>
    <w:qFormat/>
    <w:rsid w:val="00363E63"/>
    <w:pPr>
      <w:spacing w:after="0" w:line="250" w:lineRule="atLeast"/>
      <w:jc w:val="both"/>
    </w:pPr>
    <w:rPr>
      <w:rFonts w:ascii="Myriad Pro" w:hAnsi="Myriad Pr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97B"/>
    <w:pPr>
      <w:tabs>
        <w:tab w:val="center" w:pos="4536"/>
        <w:tab w:val="right" w:pos="9072"/>
      </w:tabs>
      <w:spacing w:line="240" w:lineRule="auto"/>
    </w:pPr>
  </w:style>
  <w:style w:type="character" w:customStyle="1" w:styleId="HeaderChar">
    <w:name w:val="Header Char"/>
    <w:basedOn w:val="DefaultParagraphFont"/>
    <w:link w:val="Header"/>
    <w:uiPriority w:val="99"/>
    <w:rsid w:val="0063497B"/>
  </w:style>
  <w:style w:type="paragraph" w:styleId="Footer">
    <w:name w:val="footer"/>
    <w:basedOn w:val="Normal"/>
    <w:link w:val="FooterChar"/>
    <w:uiPriority w:val="99"/>
    <w:unhideWhenUsed/>
    <w:rsid w:val="0063497B"/>
    <w:pPr>
      <w:tabs>
        <w:tab w:val="center" w:pos="4536"/>
        <w:tab w:val="right" w:pos="9072"/>
      </w:tabs>
      <w:spacing w:line="240" w:lineRule="auto"/>
    </w:pPr>
  </w:style>
  <w:style w:type="character" w:customStyle="1" w:styleId="FooterChar">
    <w:name w:val="Footer Char"/>
    <w:basedOn w:val="DefaultParagraphFont"/>
    <w:link w:val="Footer"/>
    <w:uiPriority w:val="99"/>
    <w:rsid w:val="0063497B"/>
  </w:style>
  <w:style w:type="paragraph" w:styleId="NoSpacing">
    <w:name w:val="No Spacing"/>
    <w:uiPriority w:val="1"/>
    <w:qFormat/>
    <w:rsid w:val="00887D7E"/>
    <w:pPr>
      <w:spacing w:after="0" w:line="240" w:lineRule="auto"/>
    </w:pPr>
    <w:rPr>
      <w:rFonts w:ascii="Myriad Pro" w:hAnsi="Myriad Pro"/>
    </w:rPr>
  </w:style>
  <w:style w:type="paragraph" w:customStyle="1" w:styleId="Naslov11">
    <w:name w:val="Naslov 11"/>
    <w:basedOn w:val="Normal"/>
    <w:link w:val="Naslov1Char"/>
    <w:qFormat/>
    <w:rsid w:val="00812D81"/>
    <w:pPr>
      <w:spacing w:line="360" w:lineRule="exact"/>
    </w:pPr>
    <w:rPr>
      <w:b/>
      <w:sz w:val="32"/>
      <w:szCs w:val="36"/>
    </w:rPr>
  </w:style>
  <w:style w:type="paragraph" w:customStyle="1" w:styleId="Naslov21">
    <w:name w:val="Naslov 21"/>
    <w:basedOn w:val="Normal"/>
    <w:link w:val="Naslov2Char"/>
    <w:qFormat/>
    <w:rsid w:val="00812D81"/>
    <w:pPr>
      <w:spacing w:line="360" w:lineRule="exact"/>
    </w:pPr>
    <w:rPr>
      <w:sz w:val="32"/>
      <w:szCs w:val="36"/>
    </w:rPr>
  </w:style>
  <w:style w:type="character" w:customStyle="1" w:styleId="Naslov1Char">
    <w:name w:val="Naslov 1 Char"/>
    <w:basedOn w:val="DefaultParagraphFont"/>
    <w:link w:val="Naslov11"/>
    <w:rsid w:val="00812D81"/>
    <w:rPr>
      <w:rFonts w:ascii="Myriad Pro" w:hAnsi="Myriad Pro"/>
      <w:b/>
      <w:sz w:val="32"/>
      <w:szCs w:val="36"/>
    </w:rPr>
  </w:style>
  <w:style w:type="paragraph" w:customStyle="1" w:styleId="Naslov31">
    <w:name w:val="Naslov 31"/>
    <w:basedOn w:val="Normal"/>
    <w:link w:val="Naslov3Char"/>
    <w:qFormat/>
    <w:rsid w:val="00671853"/>
    <w:rPr>
      <w:b/>
    </w:rPr>
  </w:style>
  <w:style w:type="character" w:customStyle="1" w:styleId="Naslov2Char">
    <w:name w:val="Naslov 2 Char"/>
    <w:basedOn w:val="DefaultParagraphFont"/>
    <w:link w:val="Naslov21"/>
    <w:rsid w:val="00812D81"/>
    <w:rPr>
      <w:rFonts w:ascii="Myriad Pro" w:hAnsi="Myriad Pro"/>
      <w:sz w:val="32"/>
      <w:szCs w:val="36"/>
    </w:rPr>
  </w:style>
  <w:style w:type="paragraph" w:customStyle="1" w:styleId="Dodatneinformacije">
    <w:name w:val="Dodatne informacije"/>
    <w:basedOn w:val="Normal"/>
    <w:link w:val="DodatneinformacijeChar"/>
    <w:qFormat/>
    <w:rsid w:val="00F41E1A"/>
  </w:style>
  <w:style w:type="character" w:customStyle="1" w:styleId="Naslov3Char">
    <w:name w:val="Naslov 3 Char"/>
    <w:basedOn w:val="DefaultParagraphFont"/>
    <w:link w:val="Naslov31"/>
    <w:rsid w:val="00671853"/>
    <w:rPr>
      <w:rFonts w:ascii="Myriad Pro" w:hAnsi="Myriad Pro"/>
      <w:b/>
      <w:sz w:val="21"/>
    </w:rPr>
  </w:style>
  <w:style w:type="paragraph" w:styleId="BalloonText">
    <w:name w:val="Balloon Text"/>
    <w:basedOn w:val="Normal"/>
    <w:link w:val="BalloonTextChar"/>
    <w:uiPriority w:val="99"/>
    <w:semiHidden/>
    <w:unhideWhenUsed/>
    <w:rsid w:val="00E02749"/>
    <w:pPr>
      <w:spacing w:line="240" w:lineRule="auto"/>
    </w:pPr>
    <w:rPr>
      <w:rFonts w:ascii="Segoe UI" w:hAnsi="Segoe UI" w:cs="Segoe UI"/>
      <w:sz w:val="18"/>
      <w:szCs w:val="18"/>
    </w:rPr>
  </w:style>
  <w:style w:type="character" w:customStyle="1" w:styleId="DodatneinformacijeChar">
    <w:name w:val="Dodatne informacije Char"/>
    <w:basedOn w:val="DefaultParagraphFont"/>
    <w:link w:val="Dodatneinformacije"/>
    <w:rsid w:val="00F41E1A"/>
    <w:rPr>
      <w:rFonts w:ascii="Myriad Pro" w:hAnsi="Myriad Pro"/>
      <w:sz w:val="21"/>
    </w:rPr>
  </w:style>
  <w:style w:type="character" w:customStyle="1" w:styleId="BalloonTextChar">
    <w:name w:val="Balloon Text Char"/>
    <w:basedOn w:val="DefaultParagraphFont"/>
    <w:link w:val="BalloonText"/>
    <w:uiPriority w:val="99"/>
    <w:semiHidden/>
    <w:rsid w:val="00E02749"/>
    <w:rPr>
      <w:rFonts w:ascii="Segoe UI" w:hAnsi="Segoe UI" w:cs="Segoe UI"/>
      <w:sz w:val="18"/>
      <w:szCs w:val="18"/>
    </w:rPr>
  </w:style>
  <w:style w:type="paragraph" w:customStyle="1" w:styleId="Uvod">
    <w:name w:val="Uvod"/>
    <w:basedOn w:val="Naslov31"/>
    <w:link w:val="UvodChar"/>
    <w:qFormat/>
    <w:rsid w:val="00E02749"/>
    <w:pPr>
      <w:spacing w:after="160"/>
    </w:pPr>
  </w:style>
  <w:style w:type="character" w:customStyle="1" w:styleId="UvodChar">
    <w:name w:val="Uvod Char"/>
    <w:basedOn w:val="Naslov3Char"/>
    <w:link w:val="Uvod"/>
    <w:rsid w:val="00E02749"/>
    <w:rPr>
      <w:rFonts w:ascii="Myriad Pro" w:hAnsi="Myriad Pro"/>
      <w:b/>
      <w:sz w:val="21"/>
    </w:rPr>
  </w:style>
  <w:style w:type="table" w:styleId="TableGrid">
    <w:name w:val="Table Grid"/>
    <w:basedOn w:val="TableNormal"/>
    <w:uiPriority w:val="39"/>
    <w:rsid w:val="006E1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F4F0B"/>
    <w:pPr>
      <w:ind w:left="720"/>
      <w:contextualSpacing/>
    </w:pPr>
  </w:style>
  <w:style w:type="paragraph" w:customStyle="1" w:styleId="Besedilomanjealineje">
    <w:name w:val="Besedilo manjše_alineje"/>
    <w:basedOn w:val="ListParagraph"/>
    <w:link w:val="BesedilomanjealinejeChar"/>
    <w:rsid w:val="00F545EF"/>
    <w:pPr>
      <w:numPr>
        <w:numId w:val="1"/>
      </w:numPr>
      <w:spacing w:line="220" w:lineRule="exact"/>
      <w:ind w:left="170" w:hanging="170"/>
      <w:jc w:val="left"/>
    </w:pPr>
    <w:rPr>
      <w:sz w:val="16"/>
      <w:szCs w:val="16"/>
    </w:rPr>
  </w:style>
  <w:style w:type="character" w:customStyle="1" w:styleId="ListParagraphChar">
    <w:name w:val="List Paragraph Char"/>
    <w:basedOn w:val="DefaultParagraphFont"/>
    <w:link w:val="ListParagraph"/>
    <w:uiPriority w:val="34"/>
    <w:rsid w:val="00133E20"/>
    <w:rPr>
      <w:rFonts w:ascii="Myriad Pro" w:hAnsi="Myriad Pro"/>
      <w:sz w:val="21"/>
    </w:rPr>
  </w:style>
  <w:style w:type="character" w:customStyle="1" w:styleId="BesedilomanjealinejeChar">
    <w:name w:val="Besedilo manjše_alineje Char"/>
    <w:basedOn w:val="ListParagraphChar"/>
    <w:link w:val="Besedilomanjealineje"/>
    <w:rsid w:val="00F545EF"/>
    <w:rPr>
      <w:rFonts w:ascii="Myriad Pro" w:hAnsi="Myriad Pro"/>
      <w:sz w:val="16"/>
      <w:szCs w:val="16"/>
    </w:rPr>
  </w:style>
  <w:style w:type="character" w:styleId="Hyperlink">
    <w:name w:val="Hyperlink"/>
    <w:basedOn w:val="DefaultParagraphFont"/>
    <w:uiPriority w:val="99"/>
    <w:unhideWhenUsed/>
    <w:rsid w:val="00363E63"/>
    <w:rPr>
      <w:color w:val="0563C1" w:themeColor="hyperlink"/>
      <w:u w:val="single"/>
    </w:rPr>
  </w:style>
  <w:style w:type="paragraph" w:styleId="FootnoteText">
    <w:name w:val="footnote text"/>
    <w:aliases w:val="Sprotna opomba_EO, Char Char,Char Char,Sprotna opomba-besedilo,Char Char Char Char,Sprotna opomba - besedilo Znak1,Sprotna opomba - besedilo Znak Znak2,Sprotna opomba - besedilo Znak1 Znak Znak1,fn,Char Ch,o"/>
    <w:basedOn w:val="Normal"/>
    <w:link w:val="FootnoteTextChar"/>
    <w:uiPriority w:val="99"/>
    <w:unhideWhenUsed/>
    <w:qFormat/>
    <w:rsid w:val="00FE7254"/>
    <w:pPr>
      <w:spacing w:line="240" w:lineRule="auto"/>
    </w:pPr>
    <w:rPr>
      <w:sz w:val="16"/>
      <w:szCs w:val="20"/>
    </w:rPr>
  </w:style>
  <w:style w:type="character" w:customStyle="1" w:styleId="FootnoteTextChar">
    <w:name w:val="Footnote Text Char"/>
    <w:aliases w:val="Sprotna opomba_EO Char, Char Char Char,Char Char Char,Sprotna opomba-besedilo Char,Char Char Char Char Char,Sprotna opomba - besedilo Znak1 Char,Sprotna opomba - besedilo Znak Znak2 Char,Sprotna opomba - besedilo Znak1 Znak Znak1 Char"/>
    <w:basedOn w:val="DefaultParagraphFont"/>
    <w:link w:val="FootnoteText"/>
    <w:uiPriority w:val="99"/>
    <w:rsid w:val="00FE7254"/>
    <w:rPr>
      <w:rFonts w:ascii="Myriad Pro" w:hAnsi="Myriad Pro"/>
      <w:sz w:val="16"/>
      <w:szCs w:val="20"/>
    </w:rPr>
  </w:style>
  <w:style w:type="character" w:styleId="FootnoteReference">
    <w:name w:val="footnote reference"/>
    <w:aliases w:val="footnote_EO,Footnote symbol,Fussnota,Footnote,Footnote reference number,note TESI,SUPERS,EN Footnote Reference,-E Fußnotenzeichen,Times 10 Point,Exposant 3 Point,E...,nota de rodapé,Footnote Reference_LVL6,Footnote Reference_LVL61"/>
    <w:basedOn w:val="DefaultParagraphFont"/>
    <w:uiPriority w:val="99"/>
    <w:unhideWhenUsed/>
    <w:qFormat/>
    <w:rsid w:val="00FE7254"/>
    <w:rPr>
      <w:vertAlign w:val="superscript"/>
    </w:rPr>
  </w:style>
  <w:style w:type="character" w:customStyle="1" w:styleId="Nerazreenaomemba1">
    <w:name w:val="Nerazrešena omemba1"/>
    <w:basedOn w:val="DefaultParagraphFont"/>
    <w:uiPriority w:val="99"/>
    <w:semiHidden/>
    <w:unhideWhenUsed/>
    <w:rsid w:val="003A49D8"/>
    <w:rPr>
      <w:color w:val="605E5C"/>
      <w:shd w:val="clear" w:color="auto" w:fill="E1DFDD"/>
    </w:rPr>
  </w:style>
  <w:style w:type="paragraph" w:customStyle="1" w:styleId="Naslov310">
    <w:name w:val="Naslov 310"/>
    <w:basedOn w:val="Normal"/>
    <w:qFormat/>
    <w:rsid w:val="00120162"/>
    <w:rPr>
      <w:b/>
    </w:rPr>
  </w:style>
  <w:style w:type="character" w:styleId="CommentReference">
    <w:name w:val="annotation reference"/>
    <w:basedOn w:val="DefaultParagraphFont"/>
    <w:uiPriority w:val="99"/>
    <w:semiHidden/>
    <w:unhideWhenUsed/>
    <w:rsid w:val="002B67C9"/>
    <w:rPr>
      <w:sz w:val="16"/>
      <w:szCs w:val="16"/>
    </w:rPr>
  </w:style>
  <w:style w:type="paragraph" w:styleId="CommentText">
    <w:name w:val="annotation text"/>
    <w:basedOn w:val="Normal"/>
    <w:link w:val="CommentTextChar"/>
    <w:uiPriority w:val="99"/>
    <w:unhideWhenUsed/>
    <w:rsid w:val="002B67C9"/>
    <w:pPr>
      <w:spacing w:line="240" w:lineRule="auto"/>
    </w:pPr>
    <w:rPr>
      <w:szCs w:val="20"/>
    </w:rPr>
  </w:style>
  <w:style w:type="character" w:customStyle="1" w:styleId="CommentTextChar">
    <w:name w:val="Comment Text Char"/>
    <w:basedOn w:val="DefaultParagraphFont"/>
    <w:link w:val="CommentText"/>
    <w:uiPriority w:val="99"/>
    <w:rsid w:val="002B67C9"/>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2B67C9"/>
    <w:rPr>
      <w:b/>
      <w:bCs/>
    </w:rPr>
  </w:style>
  <w:style w:type="character" w:customStyle="1" w:styleId="CommentSubjectChar">
    <w:name w:val="Comment Subject Char"/>
    <w:basedOn w:val="CommentTextChar"/>
    <w:link w:val="CommentSubject"/>
    <w:uiPriority w:val="99"/>
    <w:semiHidden/>
    <w:rsid w:val="002B67C9"/>
    <w:rPr>
      <w:rFonts w:ascii="Myriad Pro" w:hAnsi="Myriad Pro"/>
      <w:b/>
      <w:bCs/>
      <w:sz w:val="20"/>
      <w:szCs w:val="20"/>
    </w:rPr>
  </w:style>
  <w:style w:type="paragraph" w:styleId="Revision">
    <w:name w:val="Revision"/>
    <w:hidden/>
    <w:uiPriority w:val="99"/>
    <w:semiHidden/>
    <w:rsid w:val="003D0FA7"/>
    <w:pPr>
      <w:spacing w:after="0" w:line="240" w:lineRule="auto"/>
    </w:pPr>
    <w:rPr>
      <w:rFonts w:ascii="Myriad Pro" w:hAnsi="Myriad Pro"/>
      <w:sz w:val="20"/>
    </w:rPr>
  </w:style>
  <w:style w:type="character" w:styleId="EndnoteReference">
    <w:name w:val="endnote reference"/>
    <w:basedOn w:val="DefaultParagraphFont"/>
    <w:uiPriority w:val="99"/>
    <w:semiHidden/>
    <w:unhideWhenUsed/>
    <w:rsid w:val="000C5DFC"/>
    <w:rPr>
      <w:vertAlign w:val="superscript"/>
    </w:rPr>
  </w:style>
  <w:style w:type="paragraph" w:customStyle="1" w:styleId="Naslov32">
    <w:name w:val="Naslov 32"/>
    <w:basedOn w:val="Normal"/>
    <w:qFormat/>
    <w:rsid w:val="0078321F"/>
    <w:rPr>
      <w:b/>
    </w:rPr>
  </w:style>
  <w:style w:type="character" w:customStyle="1" w:styleId="normaltextrun">
    <w:name w:val="normaltextrun"/>
    <w:basedOn w:val="DefaultParagraphFont"/>
    <w:rsid w:val="00725CF3"/>
  </w:style>
  <w:style w:type="paragraph" w:customStyle="1" w:styleId="TekstgrafEO">
    <w:name w:val="Tekst graf_EO"/>
    <w:basedOn w:val="Normal"/>
    <w:link w:val="TekstgrafEOChar"/>
    <w:qFormat/>
    <w:rsid w:val="00695B5D"/>
    <w:pPr>
      <w:spacing w:line="240" w:lineRule="auto"/>
      <w:ind w:left="340"/>
    </w:pPr>
    <w:rPr>
      <w:rFonts w:eastAsia="Times New Roman" w:cs="Times New Roman"/>
      <w:sz w:val="18"/>
      <w:szCs w:val="18"/>
    </w:rPr>
  </w:style>
  <w:style w:type="character" w:customStyle="1" w:styleId="TekstgrafEOChar">
    <w:name w:val="Tekst graf_EO Char"/>
    <w:basedOn w:val="DefaultParagraphFont"/>
    <w:link w:val="TekstgrafEO"/>
    <w:rsid w:val="00695B5D"/>
    <w:rPr>
      <w:rFonts w:ascii="Myriad Pro" w:eastAsia="Times New Roman" w:hAnsi="Myriad Pro"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942122">
      <w:bodyDiv w:val="1"/>
      <w:marLeft w:val="0"/>
      <w:marRight w:val="0"/>
      <w:marTop w:val="0"/>
      <w:marBottom w:val="0"/>
      <w:divBdr>
        <w:top w:val="none" w:sz="0" w:space="0" w:color="auto"/>
        <w:left w:val="none" w:sz="0" w:space="0" w:color="auto"/>
        <w:bottom w:val="none" w:sz="0" w:space="0" w:color="auto"/>
        <w:right w:val="none" w:sz="0" w:space="0" w:color="auto"/>
      </w:divBdr>
    </w:div>
    <w:div w:id="1191844097">
      <w:bodyDiv w:val="1"/>
      <w:marLeft w:val="0"/>
      <w:marRight w:val="0"/>
      <w:marTop w:val="0"/>
      <w:marBottom w:val="0"/>
      <w:divBdr>
        <w:top w:val="none" w:sz="0" w:space="0" w:color="auto"/>
        <w:left w:val="none" w:sz="0" w:space="0" w:color="auto"/>
        <w:bottom w:val="none" w:sz="0" w:space="0" w:color="auto"/>
        <w:right w:val="none" w:sz="0" w:space="0" w:color="auto"/>
      </w:divBdr>
    </w:div>
    <w:div w:id="164137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UMAR tema_word">
  <a:themeElements>
    <a:clrScheme name="UMAR barve">
      <a:dk1>
        <a:sysClr val="windowText" lastClr="000000"/>
      </a:dk1>
      <a:lt1>
        <a:sysClr val="window" lastClr="FFFFFF"/>
      </a:lt1>
      <a:dk2>
        <a:srgbClr val="44546A"/>
      </a:dk2>
      <a:lt2>
        <a:srgbClr val="DBDBDB"/>
      </a:lt2>
      <a:accent1>
        <a:srgbClr val="9E001A"/>
      </a:accent1>
      <a:accent2>
        <a:srgbClr val="D99694"/>
      </a:accent2>
      <a:accent3>
        <a:srgbClr val="A6A6A6"/>
      </a:accent3>
      <a:accent4>
        <a:srgbClr val="54A4A3"/>
      </a:accent4>
      <a:accent5>
        <a:srgbClr val="BBD2B0"/>
      </a:accent5>
      <a:accent6>
        <a:srgbClr val="6F3B66"/>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5FADE-EB10-41C7-B54C-B68633DB8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2023-05-09T08:25:00Z</dcterms:created>
  <dcterms:modified xsi:type="dcterms:W3CDTF">2023-05-09T08:28:00Z</dcterms:modified>
</cp:coreProperties>
</file>