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8178C" w14:textId="77777777" w:rsidR="004A45C9" w:rsidRPr="00DE72F6" w:rsidRDefault="004A45C9" w:rsidP="004A45C9">
      <w:pPr>
        <w:pStyle w:val="Naslov11"/>
      </w:pPr>
      <w:r>
        <w:t>CHARTS OF THE WEEK</w:t>
      </w:r>
    </w:p>
    <w:p w14:paraId="1DAA6517" w14:textId="77777777" w:rsidR="00906B54" w:rsidRDefault="00906B54" w:rsidP="00906B54">
      <w:pPr>
        <w:pStyle w:val="Naslov21"/>
      </w:pPr>
      <w:r>
        <w:t>15–19 May 2023</w:t>
      </w:r>
    </w:p>
    <w:p w14:paraId="51705E7F" w14:textId="77777777" w:rsidR="004A45C9" w:rsidRDefault="004A45C9" w:rsidP="004A45C9"/>
    <w:p w14:paraId="78356D67" w14:textId="77777777" w:rsidR="00906B54" w:rsidRPr="00842110" w:rsidRDefault="00906B54" w:rsidP="00906B54">
      <w:pPr>
        <w:spacing w:line="240" w:lineRule="atLeast"/>
        <w:rPr>
          <w:rFonts w:eastAsia="Myriad Pro" w:cs="Myriad Pro"/>
        </w:rPr>
      </w:pPr>
      <w:r>
        <w:t>In the first quarter of this year, real gross domestic product increased by 0.6% quarter-on-quarter and by 0.7% year-on-year. Growth in economic activity was driven by household consumption, construction investment and growth in most services, where the post-COVID-19 recovery continues in some sectors, while activity in the export-oriented part of the economy remained weak.</w:t>
      </w:r>
      <w:r>
        <w:rPr>
          <w:b/>
          <w:color w:val="000000" w:themeColor="text1"/>
        </w:rPr>
        <w:t xml:space="preserve"> </w:t>
      </w:r>
      <w:r>
        <w:t>The value of construction put in place increased at the beginning of the year in all segments and was 24% higher year-on-year in the first quarter. The current account of the balance of payments showed a surplus in the first quarter. Amid a sharp decline in goods imports, the surplus was mainly the result of the goods trade balance.</w:t>
      </w:r>
      <w:r>
        <w:rPr>
          <w:b/>
          <w:color w:val="000000" w:themeColor="text1"/>
        </w:rPr>
        <w:t xml:space="preserve"> </w:t>
      </w:r>
      <w:r>
        <w:t>In the first half of May, the nominal value of fiscally verified invoices was similar to the same period last year. Turnover in trade declined slightly year-on-year, but growth in accommodation and food service activities remained relatively strong. Electricity consumption was down in all consumer groups in April, most markedly in industry. Slovenian industrial producer prices fell month-on-month in April, after about two and a half years of uninterrupted growth. Year-on-year growth also slowed further (to 9.9%). The number of persons in employment continued to rise in the first quarter, again mainly due to the employment of foreigners.</w:t>
      </w:r>
    </w:p>
    <w:p w14:paraId="641BE222" w14:textId="77777777" w:rsidR="004A45C9" w:rsidRDefault="004A45C9" w:rsidP="004A45C9">
      <w:pPr>
        <w:spacing w:line="240" w:lineRule="atLeast"/>
        <w:rPr>
          <w:highlight w:val="yellow"/>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114"/>
        <w:gridCol w:w="3543"/>
      </w:tblGrid>
      <w:tr w:rsidR="00906B54" w:rsidRPr="006C2117" w14:paraId="59B1717D" w14:textId="77777777" w:rsidTr="003C416C">
        <w:trPr>
          <w:trHeight w:val="207"/>
        </w:trPr>
        <w:tc>
          <w:tcPr>
            <w:tcW w:w="6096" w:type="dxa"/>
            <w:gridSpan w:val="2"/>
            <w:tcBorders>
              <w:bottom w:val="single" w:sz="4" w:space="0" w:color="auto"/>
            </w:tcBorders>
            <w:tcMar>
              <w:left w:w="0" w:type="dxa"/>
            </w:tcMar>
          </w:tcPr>
          <w:p w14:paraId="4F6E9BC1" w14:textId="77777777" w:rsidR="00906B54" w:rsidRPr="006C2117" w:rsidRDefault="00906B54" w:rsidP="003C416C">
            <w:pPr>
              <w:pStyle w:val="Naslov31"/>
              <w:jc w:val="left"/>
            </w:pPr>
            <w:r>
              <w:t>Gross domestic product, Q1 2023</w:t>
            </w:r>
          </w:p>
        </w:tc>
        <w:tc>
          <w:tcPr>
            <w:tcW w:w="3543" w:type="dxa"/>
            <w:tcBorders>
              <w:bottom w:val="single" w:sz="4" w:space="0" w:color="auto"/>
            </w:tcBorders>
          </w:tcPr>
          <w:p w14:paraId="615A2104" w14:textId="77777777" w:rsidR="00906B54" w:rsidRPr="006C2117" w:rsidRDefault="00906B54" w:rsidP="003C416C">
            <w:pPr>
              <w:pStyle w:val="Naslov31"/>
            </w:pPr>
          </w:p>
        </w:tc>
      </w:tr>
      <w:tr w:rsidR="00906B54" w:rsidRPr="00DF4F0B" w14:paraId="7CF5084E" w14:textId="77777777" w:rsidTr="003C416C">
        <w:trPr>
          <w:trHeight w:val="1326"/>
        </w:trPr>
        <w:tc>
          <w:tcPr>
            <w:tcW w:w="4982" w:type="dxa"/>
            <w:tcBorders>
              <w:top w:val="single" w:sz="4" w:space="0" w:color="auto"/>
            </w:tcBorders>
            <w:tcMar>
              <w:left w:w="0" w:type="dxa"/>
            </w:tcMar>
          </w:tcPr>
          <w:p w14:paraId="075BBCDA" w14:textId="50BFC9B8" w:rsidR="00906B54" w:rsidRDefault="00906B54" w:rsidP="003C416C">
            <w:pPr>
              <w:pStyle w:val="ListParagraph"/>
              <w:ind w:left="0"/>
            </w:pPr>
            <w:r>
              <w:rPr>
                <w:noProof/>
              </w:rPr>
              <w:drawing>
                <wp:inline distT="0" distB="0" distL="0" distR="0" wp14:anchorId="349C3395" wp14:editId="68AA7401">
                  <wp:extent cx="3182112" cy="2679192"/>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2112" cy="2679192"/>
                          </a:xfrm>
                          <a:prstGeom prst="rect">
                            <a:avLst/>
                          </a:prstGeom>
                          <a:noFill/>
                        </pic:spPr>
                      </pic:pic>
                    </a:graphicData>
                  </a:graphic>
                </wp:inline>
              </w:drawing>
            </w:r>
          </w:p>
        </w:tc>
        <w:tc>
          <w:tcPr>
            <w:tcW w:w="4657" w:type="dxa"/>
            <w:gridSpan w:val="2"/>
            <w:tcBorders>
              <w:top w:val="single" w:sz="4" w:space="0" w:color="auto"/>
            </w:tcBorders>
            <w:tcMar>
              <w:left w:w="284" w:type="dxa"/>
            </w:tcMar>
          </w:tcPr>
          <w:p w14:paraId="6568B502" w14:textId="77777777" w:rsidR="00906B54" w:rsidRPr="00DF4F0B" w:rsidRDefault="00906B54" w:rsidP="003C416C">
            <w:pPr>
              <w:rPr>
                <w:rFonts w:eastAsia="Myriad Pro" w:cs="Myriad Pro"/>
              </w:rPr>
            </w:pPr>
            <w:r w:rsidRPr="319E4642">
              <w:rPr>
                <w:b/>
                <w:bCs/>
              </w:rPr>
              <w:t xml:space="preserve">In the first quarter of this year, real gross domestic product (GDP) increased by 0.6% quarter-on-quarter and by 0.7% year-on-year. </w:t>
            </w:r>
            <w:r>
              <w:t xml:space="preserve">Household consumption contributed more than one percentage point to year-on-year GDP growth in the first quarter. Compared to the same period last year, households spent more on tourist services abroad and vehicle purchases, and less on food, non-food products and overnight stays in Slovenia. As the number of arrivals and overnight stays of foreign tourists increased, growth in tourism-related services was strong. Investment activity remained </w:t>
            </w:r>
            <w:bookmarkStart w:id="0" w:name="_Int_oYnXqQLO"/>
            <w:r>
              <w:t>relatively strong</w:t>
            </w:r>
            <w:bookmarkEnd w:id="0"/>
            <w:r>
              <w:t xml:space="preserve"> in the first quarter, with a particular acceleration of activity in construction. However, the surprisingly high negative contribution of inventories (-6.5 p.p.) contributed to the sharp year-on-year decline in gross capital formation. Activity in the export-oriented part of the economy was weak in the first quarter, with goods exports and manufacturing activity remaining at similar levels to the same period last year. Trade in services, especially travel, increased, supported by a rapid post-COVID-19 recovery in tourism. Total exports increased while total imports declined, contributing to the high positive contribution of the external balance (5.1 p.p.). After a period of robust growth, government consumption declined year-on-year for the third consecutive quarter, especially related to lower spending on containment measures.</w:t>
            </w:r>
          </w:p>
        </w:tc>
      </w:tr>
    </w:tbl>
    <w:p w14:paraId="4B05EF43" w14:textId="77777777" w:rsidR="00906B54" w:rsidRDefault="00906B54">
      <w:pPr>
        <w:spacing w:after="160" w:line="259" w:lineRule="auto"/>
        <w:jc w:val="left"/>
      </w:pPr>
      <w:r>
        <w:br w:type="page"/>
      </w: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04"/>
        <w:gridCol w:w="202"/>
        <w:gridCol w:w="4539"/>
      </w:tblGrid>
      <w:tr w:rsidR="00906B54" w14:paraId="6381751A" w14:textId="77777777" w:rsidTr="003C416C">
        <w:trPr>
          <w:trHeight w:val="207"/>
        </w:trPr>
        <w:tc>
          <w:tcPr>
            <w:tcW w:w="5106" w:type="dxa"/>
            <w:gridSpan w:val="2"/>
            <w:tcBorders>
              <w:top w:val="nil"/>
              <w:left w:val="nil"/>
              <w:bottom w:val="single" w:sz="4" w:space="0" w:color="auto"/>
              <w:right w:val="nil"/>
            </w:tcBorders>
            <w:hideMark/>
          </w:tcPr>
          <w:p w14:paraId="754F0F3D" w14:textId="77777777" w:rsidR="00906B54" w:rsidRDefault="00906B54" w:rsidP="003C416C">
            <w:pPr>
              <w:pStyle w:val="Naslov31"/>
              <w:jc w:val="left"/>
            </w:pPr>
            <w:r>
              <w:lastRenderedPageBreak/>
              <w:t>Activity in construction, March 2023</w:t>
            </w:r>
          </w:p>
        </w:tc>
        <w:tc>
          <w:tcPr>
            <w:tcW w:w="4539" w:type="dxa"/>
            <w:tcBorders>
              <w:top w:val="nil"/>
              <w:left w:val="nil"/>
              <w:bottom w:val="single" w:sz="4" w:space="0" w:color="auto"/>
              <w:right w:val="nil"/>
            </w:tcBorders>
          </w:tcPr>
          <w:p w14:paraId="75088920" w14:textId="77777777" w:rsidR="00906B54" w:rsidRDefault="00906B54" w:rsidP="003C416C">
            <w:pPr>
              <w:pStyle w:val="Naslov31"/>
              <w:rPr>
                <w:highlight w:val="green"/>
              </w:rPr>
            </w:pPr>
          </w:p>
        </w:tc>
      </w:tr>
      <w:tr w:rsidR="00906B54" w14:paraId="51B5E186" w14:textId="77777777" w:rsidTr="003C416C">
        <w:trPr>
          <w:trHeight w:val="3353"/>
        </w:trPr>
        <w:tc>
          <w:tcPr>
            <w:tcW w:w="4904" w:type="dxa"/>
            <w:tcBorders>
              <w:top w:val="single" w:sz="4" w:space="0" w:color="auto"/>
              <w:left w:val="nil"/>
              <w:bottom w:val="nil"/>
              <w:right w:val="nil"/>
            </w:tcBorders>
            <w:hideMark/>
          </w:tcPr>
          <w:p w14:paraId="7876569C" w14:textId="29EAF90F" w:rsidR="00906B54" w:rsidRDefault="00906B54" w:rsidP="003C416C">
            <w:pPr>
              <w:pStyle w:val="ListParagraph"/>
              <w:ind w:left="0"/>
            </w:pPr>
            <w:r>
              <w:rPr>
                <w:noProof/>
              </w:rPr>
              <w:drawing>
                <wp:inline distT="0" distB="0" distL="0" distR="0" wp14:anchorId="57CCE24E" wp14:editId="529A783C">
                  <wp:extent cx="3108960" cy="257860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8960" cy="2578608"/>
                          </a:xfrm>
                          <a:prstGeom prst="rect">
                            <a:avLst/>
                          </a:prstGeom>
                          <a:noFill/>
                        </pic:spPr>
                      </pic:pic>
                    </a:graphicData>
                  </a:graphic>
                </wp:inline>
              </w:drawing>
            </w:r>
          </w:p>
        </w:tc>
        <w:tc>
          <w:tcPr>
            <w:tcW w:w="4741" w:type="dxa"/>
            <w:gridSpan w:val="2"/>
            <w:tcBorders>
              <w:top w:val="single" w:sz="4" w:space="0" w:color="auto"/>
              <w:left w:val="nil"/>
              <w:bottom w:val="nil"/>
              <w:right w:val="nil"/>
            </w:tcBorders>
            <w:tcMar>
              <w:top w:w="113" w:type="dxa"/>
              <w:left w:w="284" w:type="dxa"/>
              <w:bottom w:w="113" w:type="dxa"/>
              <w:right w:w="0" w:type="dxa"/>
            </w:tcMar>
          </w:tcPr>
          <w:p w14:paraId="6EE59BA6" w14:textId="77777777" w:rsidR="00906B54" w:rsidRDefault="00906B54" w:rsidP="003C416C">
            <w:pPr>
              <w:rPr>
                <w:rFonts w:eastAsia="Myriad Pro" w:cs="Myriad Pro"/>
              </w:rPr>
            </w:pPr>
            <w:r w:rsidRPr="319E4642">
              <w:rPr>
                <w:b/>
                <w:bCs/>
              </w:rPr>
              <w:t>According to data on the value of construction work put in place, construction activity further increased in March.</w:t>
            </w:r>
            <w:r>
              <w:t xml:space="preserve"> The value of construction work put in place increased sharply at the beginning of this year and was 28% higher year-on-year in March. Activity in the first quarter was 24% higher than in the first quarter of last year, with a similar growth in all three segments covered by the statistics: construction of buildings, civil engineering, and specialised construction activities. The implicit deflator of the value of construction work put in place used to measure prices in the construction sector was 9% in March, the lowest level since the beginning of 2022.</w:t>
            </w:r>
          </w:p>
          <w:p w14:paraId="79912E9B" w14:textId="77777777" w:rsidR="00906B54" w:rsidRDefault="00906B54" w:rsidP="003C416C">
            <w:pPr>
              <w:rPr>
                <w:rFonts w:eastAsia="Myriad Pro" w:cs="Myriad Pro"/>
                <w:b/>
                <w:bCs/>
              </w:rPr>
            </w:pPr>
            <w:r>
              <w:t>However, some other data suggest significantly lower growth in construction activity. According to VAT data, the activity of construction companies in March was 6% higher than last year. Based on data on the value of construction put in place, the difference in the activity growth was 22 p.p.</w:t>
            </w:r>
            <w:r>
              <w:rPr>
                <w:rFonts w:ascii="Arial" w:hAnsi="Arial"/>
              </w:rPr>
              <w:t> </w:t>
            </w:r>
            <w:r>
              <w:t>Data on the value of industrial production in two activities traditionally strongly linked to construction also do not point to such high growth.</w:t>
            </w:r>
            <w:r w:rsidRPr="2F5A6331">
              <w:rPr>
                <w:rStyle w:val="FootnoteReference"/>
                <w:rFonts w:eastAsia="Myriad Pro" w:cs="Myriad Pro"/>
              </w:rPr>
              <w:footnoteReference w:id="2"/>
            </w:r>
            <w:r>
              <w:t xml:space="preserve"> </w:t>
            </w:r>
          </w:p>
        </w:tc>
      </w:tr>
    </w:tbl>
    <w:p w14:paraId="4999BD34" w14:textId="77777777" w:rsidR="00906B54" w:rsidRDefault="00906B54" w:rsidP="00906B54">
      <w:pPr>
        <w:spacing w:after="160" w:line="259" w:lineRule="auto"/>
        <w:jc w:val="left"/>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676"/>
        <w:gridCol w:w="2981"/>
      </w:tblGrid>
      <w:tr w:rsidR="00906B54" w:rsidRPr="00A4183C" w14:paraId="79266D0C" w14:textId="77777777" w:rsidTr="00906B54">
        <w:trPr>
          <w:trHeight w:val="207"/>
        </w:trPr>
        <w:tc>
          <w:tcPr>
            <w:tcW w:w="6658" w:type="dxa"/>
            <w:gridSpan w:val="2"/>
            <w:tcBorders>
              <w:bottom w:val="single" w:sz="4" w:space="0" w:color="auto"/>
            </w:tcBorders>
            <w:tcMar>
              <w:left w:w="0" w:type="dxa"/>
            </w:tcMar>
          </w:tcPr>
          <w:p w14:paraId="29FC4078" w14:textId="77777777" w:rsidR="00906B54" w:rsidRPr="00A4183C" w:rsidRDefault="00906B54" w:rsidP="003C416C">
            <w:pPr>
              <w:jc w:val="left"/>
              <w:rPr>
                <w:b/>
              </w:rPr>
            </w:pPr>
            <w:r>
              <w:rPr>
                <w:b/>
              </w:rPr>
              <w:t>Current account of the balance of payments, March 2023</w:t>
            </w:r>
          </w:p>
        </w:tc>
        <w:tc>
          <w:tcPr>
            <w:tcW w:w="2981" w:type="dxa"/>
            <w:tcBorders>
              <w:bottom w:val="single" w:sz="4" w:space="0" w:color="auto"/>
            </w:tcBorders>
          </w:tcPr>
          <w:p w14:paraId="4D42077F" w14:textId="77777777" w:rsidR="00906B54" w:rsidRPr="00A4183C" w:rsidRDefault="00906B54" w:rsidP="003C416C">
            <w:pPr>
              <w:rPr>
                <w:b/>
              </w:rPr>
            </w:pPr>
          </w:p>
        </w:tc>
      </w:tr>
      <w:tr w:rsidR="00906B54" w:rsidRPr="00A4183C" w14:paraId="7FB31E35" w14:textId="77777777" w:rsidTr="00906B54">
        <w:trPr>
          <w:trHeight w:val="1134"/>
        </w:trPr>
        <w:tc>
          <w:tcPr>
            <w:tcW w:w="4982" w:type="dxa"/>
            <w:tcBorders>
              <w:top w:val="single" w:sz="4" w:space="0" w:color="auto"/>
            </w:tcBorders>
            <w:tcMar>
              <w:left w:w="0" w:type="dxa"/>
            </w:tcMar>
          </w:tcPr>
          <w:p w14:paraId="5232645D" w14:textId="3DCEF82B" w:rsidR="00906B54" w:rsidRPr="00A4183C" w:rsidRDefault="00906B54" w:rsidP="003C416C">
            <w:pPr>
              <w:contextualSpacing/>
            </w:pPr>
            <w:r>
              <w:rPr>
                <w:noProof/>
              </w:rPr>
              <w:drawing>
                <wp:inline distT="0" distB="0" distL="0" distR="0" wp14:anchorId="1842088B" wp14:editId="661E0D04">
                  <wp:extent cx="3191256" cy="2642616"/>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91256" cy="2642616"/>
                          </a:xfrm>
                          <a:prstGeom prst="rect">
                            <a:avLst/>
                          </a:prstGeom>
                          <a:noFill/>
                        </pic:spPr>
                      </pic:pic>
                    </a:graphicData>
                  </a:graphic>
                </wp:inline>
              </w:drawing>
            </w:r>
          </w:p>
        </w:tc>
        <w:tc>
          <w:tcPr>
            <w:tcW w:w="4657" w:type="dxa"/>
            <w:gridSpan w:val="2"/>
            <w:tcBorders>
              <w:top w:val="single" w:sz="4" w:space="0" w:color="auto"/>
            </w:tcBorders>
            <w:tcMar>
              <w:left w:w="284" w:type="dxa"/>
            </w:tcMar>
          </w:tcPr>
          <w:p w14:paraId="72411920" w14:textId="77777777" w:rsidR="00906B54" w:rsidRPr="00A4183C" w:rsidRDefault="00906B54" w:rsidP="003C416C">
            <w:pPr>
              <w:rPr>
                <w:color w:val="000000" w:themeColor="text1"/>
              </w:rPr>
            </w:pPr>
            <w:r>
              <w:rPr>
                <w:b/>
                <w:color w:val="000000" w:themeColor="text1"/>
              </w:rPr>
              <w:t xml:space="preserve">The current account of the balance of payments recorded a surplus in the first quarter of this year. </w:t>
            </w:r>
            <w:r>
              <w:rPr>
                <w:color w:val="000000" w:themeColor="text1"/>
              </w:rPr>
              <w:t>The largest contribution came from the trade balance, which turned from a deficit to a surplus. In the first quarter, goods exports rose slightly year-on-year while imports fell significantly, and the terms of trade improved. We estimate that the quantity fluctuations contributed EUR 619 million to the year-on-year change in the balance of goods trade (EUR 789 million) and the terms of trade contributed EUR 170 million. The growth in the services surplus continued, especially in trade in transportation services, as their exports increased year-on-year, while imports declined. In the first quarter, net outflows of primary and secondary income were slightly lower year-on-year than a year ago. The primary income deficit was lower due to higher net interest receipts by the government and the Bank of Slovenia from deposits in foreign accounts, while the secondary income deficit was lower due to higher transfers from abroad to the domestic private sector. The 12-month balance of the current account of the balance of payments showed a surplus of EUR 784.1 million in March (1.2% of estimated GDP).</w:t>
            </w:r>
          </w:p>
          <w:p w14:paraId="466DDC8E" w14:textId="77777777" w:rsidR="00906B54" w:rsidRPr="00A4183C" w:rsidRDefault="00906B54" w:rsidP="003C416C">
            <w:pPr>
              <w:rPr>
                <w:b/>
                <w:bCs/>
                <w:color w:val="000000" w:themeColor="text1"/>
              </w:rPr>
            </w:pPr>
          </w:p>
        </w:tc>
      </w:tr>
    </w:tbl>
    <w:p w14:paraId="03936FBD" w14:textId="77777777" w:rsidR="00906B54" w:rsidRDefault="00906B54" w:rsidP="00906B54"/>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04"/>
        <w:gridCol w:w="1846"/>
        <w:gridCol w:w="2895"/>
      </w:tblGrid>
      <w:tr w:rsidR="00906B54" w14:paraId="5C55A867" w14:textId="77777777" w:rsidTr="003C416C">
        <w:trPr>
          <w:trHeight w:val="207"/>
        </w:trPr>
        <w:tc>
          <w:tcPr>
            <w:tcW w:w="6750" w:type="dxa"/>
            <w:gridSpan w:val="2"/>
            <w:tcBorders>
              <w:top w:val="nil"/>
              <w:left w:val="nil"/>
              <w:bottom w:val="single" w:sz="4" w:space="0" w:color="auto"/>
              <w:right w:val="nil"/>
            </w:tcBorders>
            <w:hideMark/>
          </w:tcPr>
          <w:p w14:paraId="3F0D5F22" w14:textId="77777777" w:rsidR="00906B54" w:rsidRDefault="00906B54" w:rsidP="003C416C">
            <w:pPr>
              <w:pStyle w:val="Naslov31"/>
              <w:jc w:val="left"/>
            </w:pPr>
            <w:r>
              <w:lastRenderedPageBreak/>
              <w:t>Value of fiscally verified invoices, in nominal terms, 30 April–13 May 2023</w:t>
            </w:r>
          </w:p>
        </w:tc>
        <w:tc>
          <w:tcPr>
            <w:tcW w:w="2895" w:type="dxa"/>
            <w:tcBorders>
              <w:top w:val="nil"/>
              <w:left w:val="nil"/>
              <w:bottom w:val="single" w:sz="4" w:space="0" w:color="auto"/>
              <w:right w:val="nil"/>
            </w:tcBorders>
          </w:tcPr>
          <w:p w14:paraId="7F077663" w14:textId="77777777" w:rsidR="00906B54" w:rsidRDefault="00906B54" w:rsidP="003C416C">
            <w:pPr>
              <w:pStyle w:val="Naslov31"/>
              <w:rPr>
                <w:highlight w:val="green"/>
              </w:rPr>
            </w:pPr>
          </w:p>
        </w:tc>
      </w:tr>
      <w:tr w:rsidR="00906B54" w14:paraId="169E3E48" w14:textId="77777777" w:rsidTr="003C416C">
        <w:trPr>
          <w:trHeight w:val="3353"/>
        </w:trPr>
        <w:tc>
          <w:tcPr>
            <w:tcW w:w="4904" w:type="dxa"/>
            <w:tcBorders>
              <w:top w:val="single" w:sz="4" w:space="0" w:color="auto"/>
              <w:left w:val="nil"/>
              <w:bottom w:val="nil"/>
              <w:right w:val="nil"/>
            </w:tcBorders>
            <w:hideMark/>
          </w:tcPr>
          <w:p w14:paraId="5D2A5BBF" w14:textId="3B50FCEA" w:rsidR="00906B54" w:rsidRDefault="00906B54" w:rsidP="003C416C">
            <w:pPr>
              <w:pStyle w:val="ListParagraph"/>
              <w:ind w:left="0"/>
            </w:pPr>
            <w:r>
              <w:rPr>
                <w:noProof/>
              </w:rPr>
              <w:drawing>
                <wp:inline distT="0" distB="0" distL="0" distR="0" wp14:anchorId="7C3EF30A" wp14:editId="7A2F6646">
                  <wp:extent cx="3008376" cy="2404872"/>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8376" cy="2404872"/>
                          </a:xfrm>
                          <a:prstGeom prst="rect">
                            <a:avLst/>
                          </a:prstGeom>
                          <a:noFill/>
                        </pic:spPr>
                      </pic:pic>
                    </a:graphicData>
                  </a:graphic>
                </wp:inline>
              </w:drawing>
            </w:r>
          </w:p>
        </w:tc>
        <w:tc>
          <w:tcPr>
            <w:tcW w:w="4741" w:type="dxa"/>
            <w:gridSpan w:val="2"/>
            <w:tcBorders>
              <w:top w:val="single" w:sz="4" w:space="0" w:color="auto"/>
              <w:left w:val="nil"/>
              <w:bottom w:val="nil"/>
              <w:right w:val="nil"/>
            </w:tcBorders>
            <w:tcMar>
              <w:top w:w="113" w:type="dxa"/>
              <w:left w:w="284" w:type="dxa"/>
              <w:bottom w:w="113" w:type="dxa"/>
              <w:right w:w="0" w:type="dxa"/>
            </w:tcMar>
          </w:tcPr>
          <w:p w14:paraId="3D0E908B" w14:textId="77777777" w:rsidR="00906B54" w:rsidRPr="009A7A48" w:rsidRDefault="00906B54" w:rsidP="003C416C">
            <w:pPr>
              <w:rPr>
                <w:rFonts w:eastAsia="Myriad Pro" w:cs="Myriad Pro"/>
                <w:color w:val="000000" w:themeColor="text1"/>
              </w:rPr>
            </w:pPr>
            <w:r w:rsidRPr="319E4642">
              <w:rPr>
                <w:b/>
                <w:bCs/>
                <w:color w:val="000000" w:themeColor="text1"/>
              </w:rPr>
              <w:t>With one working day less this year, the nominal value of fiscally verified invoices between 30 April and 13 May 2023 was similar to the same period last year.</w:t>
            </w:r>
            <w:r>
              <w:rPr>
                <w:color w:val="000000" w:themeColor="text1"/>
              </w:rPr>
              <w:t xml:space="preserve"> The fluctuations in year-on-year growth at the end of April and beginning of May were mainly influenced by the timing of the Labour Day holidays and the last working day before the holidays.</w:t>
            </w:r>
            <w:r w:rsidRPr="009A7A48">
              <w:rPr>
                <w:rFonts w:eastAsia="Myriad Pro" w:cs="Myriad Pro"/>
                <w:color w:val="000000" w:themeColor="text1"/>
                <w:vertAlign w:val="superscript"/>
                <w:lang w:val="sl"/>
              </w:rPr>
              <w:footnoteReference w:id="3"/>
            </w:r>
            <w:r>
              <w:rPr>
                <w:color w:val="000000" w:themeColor="text1"/>
              </w:rPr>
              <w:t xml:space="preserve"> </w:t>
            </w:r>
            <w:r>
              <w:t xml:space="preserve">After nominal growth in the previous 14-day period was the highest since January this year, which was also due to this year’s increased purchases before the holidays, turnover between 30 April and 13 May was similar to the same period last year, with one working day less this year. Turnover in trade decreased by 1% year-on-year and accounted for 76% of the total value of fiscally verified invoices. </w:t>
            </w:r>
            <w:r>
              <w:rPr>
                <w:color w:val="000000" w:themeColor="text1"/>
              </w:rPr>
              <w:t xml:space="preserve">Turnover growth in accommodation and food service activities remained similar to the previous 14-day period (11%). </w:t>
            </w:r>
          </w:p>
          <w:p w14:paraId="72CBFC62" w14:textId="77777777" w:rsidR="00906B54" w:rsidRDefault="00906B54" w:rsidP="003C416C">
            <w:pPr>
              <w:rPr>
                <w:b/>
                <w:bCs/>
              </w:rPr>
            </w:pPr>
          </w:p>
        </w:tc>
      </w:tr>
    </w:tbl>
    <w:p w14:paraId="0AF6F478" w14:textId="77777777" w:rsidR="00906B54" w:rsidRDefault="00906B54" w:rsidP="00906B54"/>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04"/>
        <w:gridCol w:w="202"/>
        <w:gridCol w:w="4539"/>
      </w:tblGrid>
      <w:tr w:rsidR="00906B54" w14:paraId="710424F8" w14:textId="77777777" w:rsidTr="003C416C">
        <w:trPr>
          <w:trHeight w:val="207"/>
        </w:trPr>
        <w:tc>
          <w:tcPr>
            <w:tcW w:w="5106" w:type="dxa"/>
            <w:gridSpan w:val="2"/>
            <w:tcBorders>
              <w:top w:val="nil"/>
              <w:left w:val="nil"/>
              <w:bottom w:val="single" w:sz="4" w:space="0" w:color="auto"/>
              <w:right w:val="nil"/>
            </w:tcBorders>
            <w:hideMark/>
          </w:tcPr>
          <w:p w14:paraId="4A32650D" w14:textId="77777777" w:rsidR="00906B54" w:rsidRDefault="00906B54" w:rsidP="003C416C">
            <w:pPr>
              <w:pStyle w:val="Naslov31"/>
              <w:jc w:val="left"/>
            </w:pPr>
            <w:r>
              <w:t>Electricity consumption by consumption group, April 2023</w:t>
            </w:r>
          </w:p>
        </w:tc>
        <w:tc>
          <w:tcPr>
            <w:tcW w:w="4539" w:type="dxa"/>
            <w:tcBorders>
              <w:top w:val="nil"/>
              <w:left w:val="nil"/>
              <w:bottom w:val="single" w:sz="4" w:space="0" w:color="auto"/>
              <w:right w:val="nil"/>
            </w:tcBorders>
          </w:tcPr>
          <w:p w14:paraId="0A5B70D4" w14:textId="77777777" w:rsidR="00906B54" w:rsidRDefault="00906B54" w:rsidP="003C416C">
            <w:pPr>
              <w:pStyle w:val="Naslov31"/>
              <w:rPr>
                <w:highlight w:val="green"/>
              </w:rPr>
            </w:pPr>
          </w:p>
        </w:tc>
      </w:tr>
      <w:tr w:rsidR="00906B54" w14:paraId="6682EF1C" w14:textId="77777777" w:rsidTr="003C416C">
        <w:trPr>
          <w:trHeight w:val="3353"/>
        </w:trPr>
        <w:tc>
          <w:tcPr>
            <w:tcW w:w="4904" w:type="dxa"/>
            <w:tcBorders>
              <w:top w:val="single" w:sz="4" w:space="0" w:color="auto"/>
              <w:left w:val="nil"/>
              <w:bottom w:val="nil"/>
              <w:right w:val="nil"/>
            </w:tcBorders>
            <w:hideMark/>
          </w:tcPr>
          <w:p w14:paraId="470B2186" w14:textId="688F7DEE" w:rsidR="00906B54" w:rsidRDefault="00906B54" w:rsidP="003C416C">
            <w:pPr>
              <w:pStyle w:val="ListParagraph"/>
              <w:ind w:left="0"/>
            </w:pPr>
            <w:r>
              <w:rPr>
                <w:noProof/>
              </w:rPr>
              <w:drawing>
                <wp:inline distT="0" distB="0" distL="0" distR="0" wp14:anchorId="3DB90F52" wp14:editId="001EF124">
                  <wp:extent cx="3008376" cy="2414016"/>
                  <wp:effectExtent l="0" t="0" r="1905"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8376" cy="2414016"/>
                          </a:xfrm>
                          <a:prstGeom prst="rect">
                            <a:avLst/>
                          </a:prstGeom>
                          <a:noFill/>
                        </pic:spPr>
                      </pic:pic>
                    </a:graphicData>
                  </a:graphic>
                </wp:inline>
              </w:drawing>
            </w:r>
          </w:p>
        </w:tc>
        <w:tc>
          <w:tcPr>
            <w:tcW w:w="4741" w:type="dxa"/>
            <w:gridSpan w:val="2"/>
            <w:tcBorders>
              <w:top w:val="single" w:sz="4" w:space="0" w:color="auto"/>
              <w:left w:val="nil"/>
              <w:bottom w:val="nil"/>
              <w:right w:val="nil"/>
            </w:tcBorders>
            <w:tcMar>
              <w:top w:w="113" w:type="dxa"/>
              <w:left w:w="284" w:type="dxa"/>
              <w:bottom w:w="113" w:type="dxa"/>
              <w:right w:w="0" w:type="dxa"/>
            </w:tcMar>
          </w:tcPr>
          <w:p w14:paraId="1111ED05" w14:textId="77777777" w:rsidR="00906B54" w:rsidRPr="004662DD" w:rsidRDefault="00906B54" w:rsidP="003C416C">
            <w:r w:rsidRPr="319E4642">
              <w:rPr>
                <w:b/>
                <w:bCs/>
              </w:rPr>
              <w:t xml:space="preserve">In April, electricity consumption in the distribution network was lower year-on-year in all consumption groups, with one fewer working day this April. </w:t>
            </w:r>
            <w:r>
              <w:t xml:space="preserve">The sharpest decline was in industrial consumption (by 8.8%), which we estimate to be due to one fewer working day this year and lower consumption in the energy-intensive part of the economy </w:t>
            </w:r>
            <w:bookmarkStart w:id="1" w:name="_Int_i8HFEL5r"/>
            <w:r>
              <w:t>as a result of</w:t>
            </w:r>
            <w:bookmarkEnd w:id="1"/>
            <w:r>
              <w:t xml:space="preserve"> high energy prices. Household consumption was also lower in April than a year earlier (by 3.5%), according to our estimates due to a more rational energy consumption and the impact of the COVID-19 epidemic on last year’s high base. Small business consumption</w:t>
            </w:r>
            <w:r w:rsidRPr="004662DD">
              <w:rPr>
                <w:vertAlign w:val="superscript"/>
              </w:rPr>
              <w:footnoteReference w:id="4"/>
            </w:r>
            <w:r>
              <w:t xml:space="preserve"> was 3.8% lower year-on-year in April.</w:t>
            </w:r>
          </w:p>
          <w:p w14:paraId="77BE9C66" w14:textId="77777777" w:rsidR="00906B54" w:rsidRDefault="00906B54" w:rsidP="003C416C">
            <w:pPr>
              <w:rPr>
                <w:b/>
                <w:bCs/>
              </w:rPr>
            </w:pPr>
          </w:p>
        </w:tc>
      </w:tr>
    </w:tbl>
    <w:p w14:paraId="481C0154" w14:textId="77777777" w:rsidR="00906B54" w:rsidRDefault="00906B54" w:rsidP="00906B54">
      <w:pPr>
        <w:spacing w:line="259" w:lineRule="auto"/>
        <w:jc w:val="left"/>
      </w:pPr>
    </w:p>
    <w:p w14:paraId="756BCC87" w14:textId="77777777" w:rsidR="00906B54" w:rsidRDefault="00906B54" w:rsidP="00906B54">
      <w:pPr>
        <w:spacing w:after="160" w:line="259" w:lineRule="auto"/>
        <w:jc w:val="left"/>
      </w:pPr>
      <w:r>
        <w:br w:type="page"/>
      </w: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04"/>
        <w:gridCol w:w="1846"/>
        <w:gridCol w:w="2895"/>
      </w:tblGrid>
      <w:tr w:rsidR="00906B54" w14:paraId="3B73C405" w14:textId="77777777" w:rsidTr="003C416C">
        <w:trPr>
          <w:trHeight w:val="207"/>
        </w:trPr>
        <w:tc>
          <w:tcPr>
            <w:tcW w:w="6750" w:type="dxa"/>
            <w:gridSpan w:val="2"/>
            <w:tcBorders>
              <w:top w:val="nil"/>
              <w:left w:val="nil"/>
              <w:bottom w:val="single" w:sz="4" w:space="0" w:color="auto"/>
              <w:right w:val="nil"/>
            </w:tcBorders>
            <w:hideMark/>
          </w:tcPr>
          <w:p w14:paraId="43924F27" w14:textId="77777777" w:rsidR="00906B54" w:rsidRDefault="00906B54" w:rsidP="003C416C">
            <w:pPr>
              <w:pStyle w:val="Naslov31"/>
              <w:jc w:val="left"/>
            </w:pPr>
            <w:r>
              <w:lastRenderedPageBreak/>
              <w:t>Slovenian industrial producer prices, April 2023</w:t>
            </w:r>
          </w:p>
        </w:tc>
        <w:tc>
          <w:tcPr>
            <w:tcW w:w="2895" w:type="dxa"/>
            <w:tcBorders>
              <w:top w:val="nil"/>
              <w:left w:val="nil"/>
              <w:bottom w:val="single" w:sz="4" w:space="0" w:color="auto"/>
              <w:right w:val="nil"/>
            </w:tcBorders>
          </w:tcPr>
          <w:p w14:paraId="5EF36B99" w14:textId="77777777" w:rsidR="00906B54" w:rsidRDefault="00906B54" w:rsidP="003C416C">
            <w:pPr>
              <w:pStyle w:val="Naslov31"/>
              <w:rPr>
                <w:highlight w:val="green"/>
              </w:rPr>
            </w:pPr>
          </w:p>
        </w:tc>
      </w:tr>
      <w:tr w:rsidR="00906B54" w14:paraId="0F60EFA0" w14:textId="77777777" w:rsidTr="003C416C">
        <w:trPr>
          <w:trHeight w:val="3353"/>
        </w:trPr>
        <w:tc>
          <w:tcPr>
            <w:tcW w:w="4904" w:type="dxa"/>
            <w:tcBorders>
              <w:top w:val="single" w:sz="4" w:space="0" w:color="auto"/>
              <w:left w:val="nil"/>
              <w:bottom w:val="nil"/>
              <w:right w:val="nil"/>
            </w:tcBorders>
            <w:hideMark/>
          </w:tcPr>
          <w:p w14:paraId="6333BBD2" w14:textId="7F649BA2" w:rsidR="00906B54" w:rsidRDefault="00906B54" w:rsidP="003C416C">
            <w:pPr>
              <w:pStyle w:val="ListParagraph"/>
              <w:ind w:left="0"/>
            </w:pPr>
            <w:r>
              <w:rPr>
                <w:noProof/>
              </w:rPr>
              <w:drawing>
                <wp:inline distT="0" distB="0" distL="0" distR="0" wp14:anchorId="13BBD0EE" wp14:editId="6FD5BCBF">
                  <wp:extent cx="3136392" cy="256032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36392" cy="2560320"/>
                          </a:xfrm>
                          <a:prstGeom prst="rect">
                            <a:avLst/>
                          </a:prstGeom>
                          <a:noFill/>
                        </pic:spPr>
                      </pic:pic>
                    </a:graphicData>
                  </a:graphic>
                </wp:inline>
              </w:drawing>
            </w:r>
          </w:p>
        </w:tc>
        <w:tc>
          <w:tcPr>
            <w:tcW w:w="4741" w:type="dxa"/>
            <w:gridSpan w:val="2"/>
            <w:tcBorders>
              <w:top w:val="single" w:sz="4" w:space="0" w:color="auto"/>
              <w:left w:val="nil"/>
              <w:bottom w:val="nil"/>
              <w:right w:val="nil"/>
            </w:tcBorders>
            <w:tcMar>
              <w:top w:w="113" w:type="dxa"/>
              <w:left w:w="284" w:type="dxa"/>
              <w:bottom w:w="113" w:type="dxa"/>
              <w:right w:w="0" w:type="dxa"/>
            </w:tcMar>
          </w:tcPr>
          <w:p w14:paraId="52B9567B" w14:textId="77777777" w:rsidR="00906B54" w:rsidRPr="009A7A48" w:rsidRDefault="00906B54" w:rsidP="003C416C">
            <w:pPr>
              <w:rPr>
                <w:rFonts w:eastAsia="Myriad Pro" w:cs="Myriad Pro"/>
                <w:color w:val="000000" w:themeColor="text1"/>
              </w:rPr>
            </w:pPr>
            <w:r w:rsidRPr="319E4642">
              <w:rPr>
                <w:b/>
                <w:bCs/>
              </w:rPr>
              <w:t xml:space="preserve">After about two and a half years of uninterrupted growth, Slovenian industrial producer prices fell month-on-month in April (-0.4%); the year-on-year growth thus continues to slow rapidly. </w:t>
            </w:r>
            <w:r>
              <w:t xml:space="preserve">Prices of products fell month-on-month in </w:t>
            </w:r>
            <w:bookmarkStart w:id="2" w:name="_Int_sW68qmjw"/>
            <w:r>
              <w:t>almost all</w:t>
            </w:r>
            <w:bookmarkEnd w:id="2"/>
            <w:r>
              <w:t xml:space="preserve"> industrial groups, </w:t>
            </w:r>
            <w:bookmarkStart w:id="3" w:name="_Int_wrn2p8KY"/>
            <w:r>
              <w:t>with the exception of</w:t>
            </w:r>
            <w:bookmarkEnd w:id="3"/>
            <w:r>
              <w:t xml:space="preserve"> non-durable consumer goods, where prices rose by 0.5%. Prices on foreign markets fell for the second month in a row (this time by 0.9%), while prices on the domestic market were only marginally higher (by 0.1%) due to the increase in consumer goods prices. Against the backdrop of the monthly decline in prices and the high base from last year, the year-on-year price increase for Slovenian producer prices slowed down significantly (from 13.4% in March), but still reached 9.9%. Growth was lower on both the domestic (by 13.3%) and foreign markets (by 6.4%). Year-on-year product price growth is slowing down in all product groups and remains highest in the energy group (36.1%). In the intermediate goods group, year-on-year price growth fell to 6.5%.</w:t>
            </w:r>
          </w:p>
          <w:p w14:paraId="2B379BCE" w14:textId="77777777" w:rsidR="00906B54" w:rsidRDefault="00906B54" w:rsidP="003C416C">
            <w:pPr>
              <w:rPr>
                <w:b/>
                <w:bCs/>
              </w:rPr>
            </w:pPr>
          </w:p>
        </w:tc>
      </w:tr>
    </w:tbl>
    <w:p w14:paraId="14D59309" w14:textId="77777777" w:rsidR="00906B54" w:rsidRDefault="00906B54" w:rsidP="00906B54"/>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04"/>
        <w:gridCol w:w="202"/>
        <w:gridCol w:w="4539"/>
      </w:tblGrid>
      <w:tr w:rsidR="00906B54" w14:paraId="6D14207C" w14:textId="77777777" w:rsidTr="003C416C">
        <w:trPr>
          <w:trHeight w:val="207"/>
        </w:trPr>
        <w:tc>
          <w:tcPr>
            <w:tcW w:w="5106" w:type="dxa"/>
            <w:gridSpan w:val="2"/>
            <w:tcBorders>
              <w:top w:val="nil"/>
              <w:left w:val="nil"/>
              <w:bottom w:val="single" w:sz="4" w:space="0" w:color="auto"/>
              <w:right w:val="nil"/>
            </w:tcBorders>
            <w:hideMark/>
          </w:tcPr>
          <w:p w14:paraId="607685CD" w14:textId="77777777" w:rsidR="00906B54" w:rsidRDefault="00906B54" w:rsidP="003C416C">
            <w:pPr>
              <w:pStyle w:val="Naslov31"/>
              <w:jc w:val="left"/>
            </w:pPr>
            <w:r>
              <w:t>Number of persons in employment, March 2023</w:t>
            </w:r>
          </w:p>
        </w:tc>
        <w:tc>
          <w:tcPr>
            <w:tcW w:w="4539" w:type="dxa"/>
            <w:tcBorders>
              <w:top w:val="nil"/>
              <w:left w:val="nil"/>
              <w:bottom w:val="single" w:sz="4" w:space="0" w:color="auto"/>
              <w:right w:val="nil"/>
            </w:tcBorders>
          </w:tcPr>
          <w:p w14:paraId="3DF7F8E4" w14:textId="77777777" w:rsidR="00906B54" w:rsidRDefault="00906B54" w:rsidP="003C416C">
            <w:pPr>
              <w:pStyle w:val="Naslov31"/>
              <w:rPr>
                <w:highlight w:val="green"/>
              </w:rPr>
            </w:pPr>
          </w:p>
        </w:tc>
      </w:tr>
      <w:tr w:rsidR="00906B54" w14:paraId="7B1F3D26" w14:textId="77777777" w:rsidTr="003C416C">
        <w:trPr>
          <w:trHeight w:val="3353"/>
        </w:trPr>
        <w:tc>
          <w:tcPr>
            <w:tcW w:w="4904" w:type="dxa"/>
            <w:tcBorders>
              <w:top w:val="single" w:sz="4" w:space="0" w:color="auto"/>
              <w:left w:val="nil"/>
              <w:bottom w:val="nil"/>
              <w:right w:val="nil"/>
            </w:tcBorders>
            <w:hideMark/>
          </w:tcPr>
          <w:p w14:paraId="382F3733" w14:textId="21326C6B" w:rsidR="00906B54" w:rsidRDefault="00906B54" w:rsidP="003C416C">
            <w:pPr>
              <w:pStyle w:val="ListParagraph"/>
              <w:ind w:left="0"/>
            </w:pPr>
            <w:r>
              <w:rPr>
                <w:noProof/>
              </w:rPr>
              <w:drawing>
                <wp:inline distT="0" distB="0" distL="0" distR="0" wp14:anchorId="09910477" wp14:editId="17D373DA">
                  <wp:extent cx="3136392" cy="2240280"/>
                  <wp:effectExtent l="0" t="0" r="6985"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36392" cy="2240280"/>
                          </a:xfrm>
                          <a:prstGeom prst="rect">
                            <a:avLst/>
                          </a:prstGeom>
                          <a:noFill/>
                        </pic:spPr>
                      </pic:pic>
                    </a:graphicData>
                  </a:graphic>
                </wp:inline>
              </w:drawing>
            </w:r>
          </w:p>
        </w:tc>
        <w:tc>
          <w:tcPr>
            <w:tcW w:w="4741" w:type="dxa"/>
            <w:gridSpan w:val="2"/>
            <w:tcBorders>
              <w:top w:val="single" w:sz="4" w:space="0" w:color="auto"/>
              <w:left w:val="nil"/>
              <w:bottom w:val="nil"/>
              <w:right w:val="nil"/>
            </w:tcBorders>
            <w:tcMar>
              <w:top w:w="113" w:type="dxa"/>
              <w:left w:w="284" w:type="dxa"/>
              <w:bottom w:w="113" w:type="dxa"/>
              <w:right w:w="0" w:type="dxa"/>
            </w:tcMar>
          </w:tcPr>
          <w:p w14:paraId="066566A3" w14:textId="77777777" w:rsidR="00906B54" w:rsidRDefault="00906B54" w:rsidP="003C416C">
            <w:pPr>
              <w:rPr>
                <w:b/>
                <w:bCs/>
              </w:rPr>
            </w:pPr>
            <w:r w:rsidRPr="319E4642">
              <w:rPr>
                <w:b/>
                <w:bCs/>
              </w:rPr>
              <w:t xml:space="preserve">In March, year-on-year growth in the number of persons in employment was </w:t>
            </w:r>
            <w:bookmarkStart w:id="4" w:name="_Int_B58kr0g4"/>
            <w:r w:rsidRPr="319E4642">
              <w:rPr>
                <w:b/>
                <w:bCs/>
              </w:rPr>
              <w:t>similar to</w:t>
            </w:r>
            <w:bookmarkEnd w:id="4"/>
            <w:r w:rsidRPr="319E4642">
              <w:rPr>
                <w:b/>
                <w:bCs/>
              </w:rPr>
              <w:t xml:space="preserve"> the previous two months (1.8%). </w:t>
            </w:r>
            <w:r>
              <w:t>The strongest growth was still seen in construction, which is facing a major labour shortage and saw the largest increase in the number of persons in employment also compared to the same period in 2019. Employment of foreign workers has been the largest contributor to the overall growth in the number of persons in employment for some time – their contribution was 83% year-on-year in March, slightly higher than in previous months. Foreigners accounted for 14.2% of total employment, up 1.3 p.p. from the previous year. The sectors with the highest share of foreigners were construction (48%), transportation and storage (32%), and administrative and support service activities (26%).</w:t>
            </w:r>
          </w:p>
        </w:tc>
      </w:tr>
    </w:tbl>
    <w:p w14:paraId="7A410808" w14:textId="04E7C890" w:rsidR="00906B54" w:rsidRDefault="00906B54">
      <w:pPr>
        <w:spacing w:after="160" w:line="259" w:lineRule="auto"/>
        <w:jc w:val="left"/>
      </w:pPr>
    </w:p>
    <w:p w14:paraId="126C5566" w14:textId="77777777" w:rsidR="0067369C" w:rsidRDefault="0067369C" w:rsidP="0067369C">
      <w:pPr>
        <w:spacing w:after="160" w:line="259" w:lineRule="auto"/>
        <w:jc w:val="left"/>
      </w:pPr>
    </w:p>
    <w:p w14:paraId="22475C0D" w14:textId="36045D7D" w:rsidR="00FE7254" w:rsidRPr="00FE7254" w:rsidRDefault="00FE7254" w:rsidP="001C5031">
      <w:pPr>
        <w:spacing w:after="160" w:line="259" w:lineRule="auto"/>
        <w:jc w:val="left"/>
        <w:sectPr w:rsidR="00FE7254" w:rsidRPr="00FE7254" w:rsidSect="00363E63">
          <w:footerReference w:type="default" r:id="rId18"/>
          <w:headerReference w:type="first" r:id="rId19"/>
          <w:footerReference w:type="first" r:id="rId20"/>
          <w:type w:val="continuous"/>
          <w:pgSz w:w="11906" w:h="16838"/>
          <w:pgMar w:top="1134" w:right="1134" w:bottom="1021" w:left="1134" w:header="709" w:footer="397" w:gutter="0"/>
          <w:cols w:space="708"/>
          <w:titlePg/>
          <w:docGrid w:linePitch="360"/>
        </w:sectPr>
      </w:pPr>
    </w:p>
    <w:p w14:paraId="26A312A6" w14:textId="34D08EBB" w:rsidR="002E69B6" w:rsidRPr="00887D7E" w:rsidRDefault="00045F86" w:rsidP="00C26C8D">
      <w:pPr>
        <w:tabs>
          <w:tab w:val="left" w:pos="580"/>
        </w:tabs>
      </w:pPr>
      <w:r w:rsidRPr="00045F86">
        <w:lastRenderedPageBreak/>
        <w:drawing>
          <wp:inline distT="0" distB="0" distL="0" distR="0" wp14:anchorId="7E894704" wp14:editId="6B4E19CB">
            <wp:extent cx="6120130" cy="838708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20130" cy="8387080"/>
                    </a:xfrm>
                    <a:prstGeom prst="rect">
                      <a:avLst/>
                    </a:prstGeom>
                    <a:noFill/>
                    <a:ln>
                      <a:noFill/>
                    </a:ln>
                  </pic:spPr>
                </pic:pic>
              </a:graphicData>
            </a:graphic>
          </wp:inline>
        </w:drawing>
      </w:r>
    </w:p>
    <w:sectPr w:rsidR="002E69B6" w:rsidRPr="00887D7E" w:rsidSect="00363E63">
      <w:headerReference w:type="default" r:id="rId22"/>
      <w:footerReference w:type="default" r:id="rId23"/>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7B969" w14:textId="77777777" w:rsidR="00792C0D" w:rsidRDefault="00792C0D" w:rsidP="0063497B">
      <w:pPr>
        <w:spacing w:line="240" w:lineRule="auto"/>
      </w:pPr>
      <w:r>
        <w:separator/>
      </w:r>
    </w:p>
  </w:endnote>
  <w:endnote w:type="continuationSeparator" w:id="0">
    <w:p w14:paraId="3E3F470E" w14:textId="77777777" w:rsidR="00792C0D" w:rsidRDefault="00792C0D" w:rsidP="0063497B">
      <w:pPr>
        <w:spacing w:line="240" w:lineRule="auto"/>
      </w:pPr>
      <w:r>
        <w:continuationSeparator/>
      </w:r>
    </w:p>
  </w:endnote>
  <w:endnote w:type="continuationNotice" w:id="1">
    <w:p w14:paraId="351D3BDE" w14:textId="77777777" w:rsidR="00792C0D" w:rsidRDefault="00792C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242D" w14:textId="76E87739" w:rsidR="000D53A2" w:rsidRPr="00363E63" w:rsidRDefault="000D53A2"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b w:val="0"/>
        <w:sz w:val="18"/>
      </w:rPr>
      <w:tab/>
    </w:r>
    <w:r>
      <w:rPr>
        <w:sz w:val="18"/>
      </w:rPr>
      <w:t xml:space="preserve"> </w:t>
    </w:r>
    <w:sdt>
      <w:sdtPr>
        <w:rPr>
          <w:sz w:val="18"/>
          <w:szCs w:val="18"/>
        </w:rPr>
        <w:id w:val="-652685202"/>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sidR="0078345B">
          <w:rPr>
            <w:noProof/>
            <w:sz w:val="18"/>
          </w:rPr>
          <w:t>2</w:t>
        </w:r>
        <w:r w:rsidRPr="00363E63">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9913" w14:textId="26AE332E" w:rsidR="000D53A2" w:rsidRPr="00363E63" w:rsidRDefault="000D53A2"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b w:val="0"/>
        <w:sz w:val="18"/>
      </w:rPr>
      <w:tab/>
    </w:r>
    <w:r>
      <w:rPr>
        <w:sz w:val="18"/>
      </w:rPr>
      <w:t xml:space="preserve"> </w:t>
    </w:r>
    <w:sdt>
      <w:sdtPr>
        <w:rPr>
          <w:sz w:val="18"/>
          <w:szCs w:val="18"/>
        </w:rPr>
        <w:id w:val="-89402759"/>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sidR="0078345B">
          <w:rPr>
            <w:noProof/>
            <w:sz w:val="18"/>
          </w:rPr>
          <w:t>1</w:t>
        </w:r>
        <w:r w:rsidRPr="00363E63">
          <w:rPr>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BB8D" w14:textId="77777777" w:rsidR="000D53A2" w:rsidRPr="00C26C8D" w:rsidRDefault="000D53A2" w:rsidP="00C26C8D">
    <w:pPr>
      <w:pStyle w:val="Naslov31"/>
      <w:tabs>
        <w:tab w:val="right" w:pos="9638"/>
      </w:tabs>
      <w:jc w:val="left"/>
      <w:rPr>
        <w:b w:val="0"/>
        <w:sz w:val="18"/>
        <w:szCs w:val="18"/>
      </w:rPr>
    </w:pPr>
    <w:r>
      <w:rPr>
        <w:b w:val="0"/>
        <w:sz w:val="18"/>
      </w:rPr>
      <w:t>The table format accessible to screen reader users can be found on the IMAD website among the appendices to the current graphs of the week (Selected macroeconomic indicators for Slovenia).</w:t>
    </w:r>
  </w:p>
  <w:p w14:paraId="67C0D3BB" w14:textId="77777777" w:rsidR="000D53A2" w:rsidRPr="00C26C8D" w:rsidRDefault="000D53A2" w:rsidP="00C26C8D">
    <w:pPr>
      <w:pStyle w:val="Naslov31"/>
      <w:tabs>
        <w:tab w:val="right" w:pos="9638"/>
      </w:tabs>
      <w:jc w:val="left"/>
      <w:rPr>
        <w:b w:val="0"/>
        <w:sz w:val="18"/>
        <w:szCs w:val="18"/>
      </w:rPr>
    </w:pPr>
  </w:p>
  <w:p w14:paraId="6B87A005" w14:textId="77777777" w:rsidR="000D53A2" w:rsidRPr="00363E63" w:rsidRDefault="000D53A2" w:rsidP="00C26C8D">
    <w:pPr>
      <w:pStyle w:val="Naslov31"/>
      <w:tabs>
        <w:tab w:val="right" w:pos="9638"/>
      </w:tabs>
      <w:jc w:val="left"/>
      <w:rPr>
        <w:b w:val="0"/>
        <w:sz w:val="18"/>
        <w:szCs w:val="18"/>
      </w:rPr>
    </w:pPr>
    <w:r>
      <w:rPr>
        <w:sz w:val="18"/>
      </w:rPr>
      <w:t xml:space="preserve">More information: </w:t>
    </w:r>
    <w:r>
      <w:rPr>
        <w:b w:val="0"/>
        <w:sz w:val="18"/>
      </w:rPr>
      <w:t>phone: +386 1 478 10 04, e-mail: polona.osrajnik@gov.si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FD562" w14:textId="77777777" w:rsidR="00792C0D" w:rsidRDefault="00792C0D" w:rsidP="0063497B">
      <w:pPr>
        <w:spacing w:line="240" w:lineRule="auto"/>
      </w:pPr>
      <w:r>
        <w:separator/>
      </w:r>
    </w:p>
  </w:footnote>
  <w:footnote w:type="continuationSeparator" w:id="0">
    <w:p w14:paraId="355A04FF" w14:textId="77777777" w:rsidR="00792C0D" w:rsidRDefault="00792C0D" w:rsidP="0063497B">
      <w:pPr>
        <w:spacing w:line="240" w:lineRule="auto"/>
      </w:pPr>
      <w:r>
        <w:continuationSeparator/>
      </w:r>
    </w:p>
  </w:footnote>
  <w:footnote w:type="continuationNotice" w:id="1">
    <w:p w14:paraId="628B1213" w14:textId="77777777" w:rsidR="00792C0D" w:rsidRDefault="00792C0D">
      <w:pPr>
        <w:spacing w:line="240" w:lineRule="auto"/>
      </w:pPr>
    </w:p>
  </w:footnote>
  <w:footnote w:id="2">
    <w:p w14:paraId="1E09E478" w14:textId="77777777" w:rsidR="00906B54" w:rsidRDefault="00906B54" w:rsidP="00906B54">
      <w:pPr>
        <w:pStyle w:val="FootnoteText"/>
      </w:pPr>
      <w:r>
        <w:rPr>
          <w:rStyle w:val="FootnoteReference"/>
        </w:rPr>
        <w:footnoteRef/>
      </w:r>
      <w:r>
        <w:t xml:space="preserve"> Production in other mining and quarrying and manufacture of other non-metallic mineral products was 9% lower year-on-year in March.</w:t>
      </w:r>
    </w:p>
  </w:footnote>
  <w:footnote w:id="3">
    <w:p w14:paraId="459DAD51" w14:textId="77777777" w:rsidR="00906B54" w:rsidRPr="00362C06" w:rsidRDefault="00906B54" w:rsidP="00906B54">
      <w:pPr>
        <w:pStyle w:val="FootnoteText"/>
        <w:rPr>
          <w:sz w:val="18"/>
        </w:rPr>
      </w:pPr>
      <w:r>
        <w:rPr>
          <w:rStyle w:val="FootnoteReference"/>
        </w:rPr>
        <w:footnoteRef/>
      </w:r>
      <w:r>
        <w:t xml:space="preserve"> This year, the last working day before the closure of shops was 29 April, compared to 30 April last year, which affected turnover in two different 14-day periods. </w:t>
      </w:r>
    </w:p>
  </w:footnote>
  <w:footnote w:id="4">
    <w:p w14:paraId="05EA7150" w14:textId="77777777" w:rsidR="00906B54" w:rsidRDefault="00906B54" w:rsidP="00906B54">
      <w:pPr>
        <w:pStyle w:val="FootnoteText"/>
      </w:pPr>
      <w:r>
        <w:rPr>
          <w:rStyle w:val="FootnoteReference"/>
        </w:rPr>
        <w:footnoteRef/>
      </w:r>
      <w:r>
        <w:t xml:space="preserve"> In this consumption group, consumption is most frequently measured in shops and service activities. This group also includes warehouses, agricultural activity, etc., and large manufacturing plants that do not consume significant amounts of electricity at some measurement points.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A66C" w14:textId="4A56ABE3" w:rsidR="000D53A2" w:rsidRDefault="000D53A2" w:rsidP="00652795">
    <w:pPr>
      <w:jc w:val="right"/>
    </w:pPr>
    <w:r>
      <w:rPr>
        <w:noProof/>
        <w:lang w:val="sl-SI" w:eastAsia="sl-SI"/>
      </w:rPr>
      <w:drawing>
        <wp:anchor distT="0" distB="0" distL="114300" distR="114300" simplePos="0" relativeHeight="251658240" behindDoc="0" locked="0" layoutInCell="1" allowOverlap="1" wp14:anchorId="254C5F65" wp14:editId="48ED07FB">
          <wp:simplePos x="0" y="0"/>
          <wp:positionH relativeFrom="column">
            <wp:posOffset>-313690</wp:posOffset>
          </wp:positionH>
          <wp:positionV relativeFrom="paragraph">
            <wp:posOffset>60960</wp:posOffset>
          </wp:positionV>
          <wp:extent cx="1155700" cy="1002030"/>
          <wp:effectExtent l="0" t="0" r="6350" b="762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MAR logo"/>
                  <pic:cNvPicPr/>
                </pic:nvPicPr>
                <pic:blipFill>
                  <a:blip r:embed="rId1">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rsidR="00906B54">
      <w:t>22 May 2023</w:t>
    </w:r>
  </w:p>
  <w:p w14:paraId="4BCD6FCD" w14:textId="77777777" w:rsidR="000D53A2" w:rsidRDefault="000D53A2" w:rsidP="00FE7254">
    <w:pPr>
      <w:jc w:val="right"/>
    </w:pPr>
  </w:p>
  <w:p w14:paraId="2346E65D" w14:textId="77777777" w:rsidR="000D53A2" w:rsidRDefault="000D53A2" w:rsidP="00FE7254">
    <w:pPr>
      <w:jc w:val="right"/>
    </w:pPr>
  </w:p>
  <w:p w14:paraId="72003DEC" w14:textId="77777777" w:rsidR="000D53A2" w:rsidRDefault="000D53A2" w:rsidP="00FE7254">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F943" w14:textId="77777777" w:rsidR="000D53A2" w:rsidRPr="00C26C8D" w:rsidRDefault="000D53A2" w:rsidP="00C26C8D">
    <w:pPr>
      <w:pStyle w:val="Header"/>
      <w:rPr>
        <w:b/>
      </w:rPr>
    </w:pPr>
    <w:r>
      <w:rPr>
        <w:b/>
      </w:rPr>
      <w:t>Table: Selected macroeconomic indicators for Slovenia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16cid:durableId="751858404">
    <w:abstractNumId w:val="0"/>
  </w:num>
  <w:num w:numId="2" w16cid:durableId="1509251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170"/>
  <w:hyphenationZone w:val="425"/>
  <w:drawingGridHorizontalSpacing w:val="4933"/>
  <w:drawingGridVerticalSpacing w:val="3118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57"/>
    <w:rsid w:val="00000E2B"/>
    <w:rsid w:val="00001002"/>
    <w:rsid w:val="0000470D"/>
    <w:rsid w:val="00004D56"/>
    <w:rsid w:val="00005079"/>
    <w:rsid w:val="00005E4B"/>
    <w:rsid w:val="000075AF"/>
    <w:rsid w:val="000108CA"/>
    <w:rsid w:val="000110FF"/>
    <w:rsid w:val="00011C08"/>
    <w:rsid w:val="000123FA"/>
    <w:rsid w:val="00013635"/>
    <w:rsid w:val="00014959"/>
    <w:rsid w:val="00014A64"/>
    <w:rsid w:val="00015C15"/>
    <w:rsid w:val="00016923"/>
    <w:rsid w:val="0001738D"/>
    <w:rsid w:val="000202D9"/>
    <w:rsid w:val="00020594"/>
    <w:rsid w:val="00022B34"/>
    <w:rsid w:val="000238C0"/>
    <w:rsid w:val="0002391A"/>
    <w:rsid w:val="000241BE"/>
    <w:rsid w:val="000242B6"/>
    <w:rsid w:val="00024412"/>
    <w:rsid w:val="00024C2B"/>
    <w:rsid w:val="00024EF0"/>
    <w:rsid w:val="000257A3"/>
    <w:rsid w:val="00025C03"/>
    <w:rsid w:val="00025C1C"/>
    <w:rsid w:val="00026AAA"/>
    <w:rsid w:val="000328C3"/>
    <w:rsid w:val="0003301E"/>
    <w:rsid w:val="00033A1D"/>
    <w:rsid w:val="000407E8"/>
    <w:rsid w:val="00041021"/>
    <w:rsid w:val="0004116E"/>
    <w:rsid w:val="00041EFE"/>
    <w:rsid w:val="00043B69"/>
    <w:rsid w:val="0004410D"/>
    <w:rsid w:val="0004498A"/>
    <w:rsid w:val="00045703"/>
    <w:rsid w:val="00045B52"/>
    <w:rsid w:val="00045F86"/>
    <w:rsid w:val="00051AF3"/>
    <w:rsid w:val="00052A59"/>
    <w:rsid w:val="00052B28"/>
    <w:rsid w:val="0005322C"/>
    <w:rsid w:val="00053417"/>
    <w:rsid w:val="00053770"/>
    <w:rsid w:val="00054458"/>
    <w:rsid w:val="00054E25"/>
    <w:rsid w:val="00055385"/>
    <w:rsid w:val="00055BD4"/>
    <w:rsid w:val="0006047B"/>
    <w:rsid w:val="0006076B"/>
    <w:rsid w:val="00061F03"/>
    <w:rsid w:val="00062E0D"/>
    <w:rsid w:val="0006389B"/>
    <w:rsid w:val="00064344"/>
    <w:rsid w:val="00064E87"/>
    <w:rsid w:val="0006523A"/>
    <w:rsid w:val="00065B72"/>
    <w:rsid w:val="00066060"/>
    <w:rsid w:val="00070313"/>
    <w:rsid w:val="000703C7"/>
    <w:rsid w:val="00070B6E"/>
    <w:rsid w:val="00070D90"/>
    <w:rsid w:val="00071970"/>
    <w:rsid w:val="000725CF"/>
    <w:rsid w:val="00073C2B"/>
    <w:rsid w:val="000759D7"/>
    <w:rsid w:val="0007794F"/>
    <w:rsid w:val="00077F13"/>
    <w:rsid w:val="00080283"/>
    <w:rsid w:val="000802F5"/>
    <w:rsid w:val="000821D1"/>
    <w:rsid w:val="00082DA5"/>
    <w:rsid w:val="00083A5C"/>
    <w:rsid w:val="00083B7F"/>
    <w:rsid w:val="00087E6A"/>
    <w:rsid w:val="000921F2"/>
    <w:rsid w:val="00092592"/>
    <w:rsid w:val="000943AF"/>
    <w:rsid w:val="00095F2A"/>
    <w:rsid w:val="00096101"/>
    <w:rsid w:val="000969E6"/>
    <w:rsid w:val="000973AE"/>
    <w:rsid w:val="00097DD5"/>
    <w:rsid w:val="000A015C"/>
    <w:rsid w:val="000A0243"/>
    <w:rsid w:val="000A56B4"/>
    <w:rsid w:val="000A5A42"/>
    <w:rsid w:val="000A7BDC"/>
    <w:rsid w:val="000B16C0"/>
    <w:rsid w:val="000B2332"/>
    <w:rsid w:val="000B2627"/>
    <w:rsid w:val="000B5B96"/>
    <w:rsid w:val="000B7036"/>
    <w:rsid w:val="000C23B1"/>
    <w:rsid w:val="000C2FB9"/>
    <w:rsid w:val="000C450B"/>
    <w:rsid w:val="000C4ED1"/>
    <w:rsid w:val="000C5DFC"/>
    <w:rsid w:val="000C6EAA"/>
    <w:rsid w:val="000C7995"/>
    <w:rsid w:val="000D3CA9"/>
    <w:rsid w:val="000D3F8B"/>
    <w:rsid w:val="000D41C1"/>
    <w:rsid w:val="000D44DE"/>
    <w:rsid w:val="000D4661"/>
    <w:rsid w:val="000D4B66"/>
    <w:rsid w:val="000D4F5F"/>
    <w:rsid w:val="000D53A2"/>
    <w:rsid w:val="000D60E5"/>
    <w:rsid w:val="000D7845"/>
    <w:rsid w:val="000D7CEB"/>
    <w:rsid w:val="000E0B03"/>
    <w:rsid w:val="000E1F61"/>
    <w:rsid w:val="000E5CB1"/>
    <w:rsid w:val="000E73CF"/>
    <w:rsid w:val="000F018E"/>
    <w:rsid w:val="000F5315"/>
    <w:rsid w:val="000F561E"/>
    <w:rsid w:val="001003C6"/>
    <w:rsid w:val="00101E8B"/>
    <w:rsid w:val="00103F58"/>
    <w:rsid w:val="001043AF"/>
    <w:rsid w:val="00105CC2"/>
    <w:rsid w:val="00106EDE"/>
    <w:rsid w:val="00110483"/>
    <w:rsid w:val="00110B3C"/>
    <w:rsid w:val="00111DFE"/>
    <w:rsid w:val="00112B3E"/>
    <w:rsid w:val="00115501"/>
    <w:rsid w:val="00115E8D"/>
    <w:rsid w:val="00116668"/>
    <w:rsid w:val="00116C1E"/>
    <w:rsid w:val="00117D58"/>
    <w:rsid w:val="00120162"/>
    <w:rsid w:val="00120431"/>
    <w:rsid w:val="001232B1"/>
    <w:rsid w:val="00123A5A"/>
    <w:rsid w:val="00123D52"/>
    <w:rsid w:val="001242FF"/>
    <w:rsid w:val="001255CD"/>
    <w:rsid w:val="0012725B"/>
    <w:rsid w:val="00127822"/>
    <w:rsid w:val="00131764"/>
    <w:rsid w:val="00131C0D"/>
    <w:rsid w:val="00133E20"/>
    <w:rsid w:val="00136E24"/>
    <w:rsid w:val="0014161A"/>
    <w:rsid w:val="00143D67"/>
    <w:rsid w:val="00144676"/>
    <w:rsid w:val="00146E84"/>
    <w:rsid w:val="00150890"/>
    <w:rsid w:val="00150D0F"/>
    <w:rsid w:val="00155F06"/>
    <w:rsid w:val="00156504"/>
    <w:rsid w:val="00160C98"/>
    <w:rsid w:val="0016111E"/>
    <w:rsid w:val="00161807"/>
    <w:rsid w:val="00162E99"/>
    <w:rsid w:val="001639D0"/>
    <w:rsid w:val="00165B9E"/>
    <w:rsid w:val="00165D60"/>
    <w:rsid w:val="00167096"/>
    <w:rsid w:val="00171691"/>
    <w:rsid w:val="00172CC2"/>
    <w:rsid w:val="00172FDB"/>
    <w:rsid w:val="00175B27"/>
    <w:rsid w:val="00175D0E"/>
    <w:rsid w:val="0017633B"/>
    <w:rsid w:val="00176407"/>
    <w:rsid w:val="0017660B"/>
    <w:rsid w:val="00181CF5"/>
    <w:rsid w:val="00182319"/>
    <w:rsid w:val="001847BE"/>
    <w:rsid w:val="00184E9C"/>
    <w:rsid w:val="00187DC1"/>
    <w:rsid w:val="00190B5F"/>
    <w:rsid w:val="0019138D"/>
    <w:rsid w:val="0019199E"/>
    <w:rsid w:val="0019242E"/>
    <w:rsid w:val="00192B58"/>
    <w:rsid w:val="0019311A"/>
    <w:rsid w:val="00196BDC"/>
    <w:rsid w:val="00196E96"/>
    <w:rsid w:val="001A0B7D"/>
    <w:rsid w:val="001A0C6A"/>
    <w:rsid w:val="001A0C98"/>
    <w:rsid w:val="001A3E47"/>
    <w:rsid w:val="001A5231"/>
    <w:rsid w:val="001B475E"/>
    <w:rsid w:val="001B64B0"/>
    <w:rsid w:val="001B69D0"/>
    <w:rsid w:val="001B6AE7"/>
    <w:rsid w:val="001B7402"/>
    <w:rsid w:val="001C03A0"/>
    <w:rsid w:val="001C0998"/>
    <w:rsid w:val="001C2D69"/>
    <w:rsid w:val="001C3291"/>
    <w:rsid w:val="001C3E55"/>
    <w:rsid w:val="001C5031"/>
    <w:rsid w:val="001C526C"/>
    <w:rsid w:val="001D0655"/>
    <w:rsid w:val="001D1DF5"/>
    <w:rsid w:val="001D2917"/>
    <w:rsid w:val="001D2CF4"/>
    <w:rsid w:val="001D3E77"/>
    <w:rsid w:val="001D5E51"/>
    <w:rsid w:val="001D6793"/>
    <w:rsid w:val="001D76BE"/>
    <w:rsid w:val="001D783A"/>
    <w:rsid w:val="001E0483"/>
    <w:rsid w:val="001E0669"/>
    <w:rsid w:val="001E2BB5"/>
    <w:rsid w:val="001E3554"/>
    <w:rsid w:val="001E3587"/>
    <w:rsid w:val="001E3956"/>
    <w:rsid w:val="001E64A5"/>
    <w:rsid w:val="001E66B1"/>
    <w:rsid w:val="001E6D6C"/>
    <w:rsid w:val="001E7BB4"/>
    <w:rsid w:val="001F0ED2"/>
    <w:rsid w:val="001F4E8F"/>
    <w:rsid w:val="001F51CD"/>
    <w:rsid w:val="001F52DE"/>
    <w:rsid w:val="001F5764"/>
    <w:rsid w:val="001F6F70"/>
    <w:rsid w:val="001F793F"/>
    <w:rsid w:val="002040EA"/>
    <w:rsid w:val="002056AE"/>
    <w:rsid w:val="0020683D"/>
    <w:rsid w:val="002069B9"/>
    <w:rsid w:val="00207EB2"/>
    <w:rsid w:val="002105C1"/>
    <w:rsid w:val="002113DE"/>
    <w:rsid w:val="00211A0B"/>
    <w:rsid w:val="00212D18"/>
    <w:rsid w:val="00213015"/>
    <w:rsid w:val="00213030"/>
    <w:rsid w:val="00213EE1"/>
    <w:rsid w:val="00214D6F"/>
    <w:rsid w:val="00214DF6"/>
    <w:rsid w:val="00215DA0"/>
    <w:rsid w:val="00216369"/>
    <w:rsid w:val="00216757"/>
    <w:rsid w:val="00221921"/>
    <w:rsid w:val="00221A24"/>
    <w:rsid w:val="0022245A"/>
    <w:rsid w:val="002229E0"/>
    <w:rsid w:val="002229E7"/>
    <w:rsid w:val="00222F75"/>
    <w:rsid w:val="0022644C"/>
    <w:rsid w:val="00226C04"/>
    <w:rsid w:val="00231A77"/>
    <w:rsid w:val="00231C68"/>
    <w:rsid w:val="002321A4"/>
    <w:rsid w:val="002355A3"/>
    <w:rsid w:val="00235AEB"/>
    <w:rsid w:val="002362D3"/>
    <w:rsid w:val="00236656"/>
    <w:rsid w:val="002374F8"/>
    <w:rsid w:val="0024119A"/>
    <w:rsid w:val="002412DD"/>
    <w:rsid w:val="00242C71"/>
    <w:rsid w:val="0024323E"/>
    <w:rsid w:val="00243593"/>
    <w:rsid w:val="0024378B"/>
    <w:rsid w:val="002461D2"/>
    <w:rsid w:val="00246CF1"/>
    <w:rsid w:val="002511CF"/>
    <w:rsid w:val="00251A27"/>
    <w:rsid w:val="00252E25"/>
    <w:rsid w:val="002537EF"/>
    <w:rsid w:val="00253AF0"/>
    <w:rsid w:val="00253F47"/>
    <w:rsid w:val="002546C2"/>
    <w:rsid w:val="002551D9"/>
    <w:rsid w:val="00255F95"/>
    <w:rsid w:val="00261BB1"/>
    <w:rsid w:val="00261DB4"/>
    <w:rsid w:val="0026341B"/>
    <w:rsid w:val="002638E5"/>
    <w:rsid w:val="00263DF9"/>
    <w:rsid w:val="0026509A"/>
    <w:rsid w:val="00266E56"/>
    <w:rsid w:val="002675DD"/>
    <w:rsid w:val="00271747"/>
    <w:rsid w:val="0027260C"/>
    <w:rsid w:val="0027286B"/>
    <w:rsid w:val="00274C9F"/>
    <w:rsid w:val="00274D3F"/>
    <w:rsid w:val="00274EB5"/>
    <w:rsid w:val="00275472"/>
    <w:rsid w:val="002757E0"/>
    <w:rsid w:val="00275F04"/>
    <w:rsid w:val="00276325"/>
    <w:rsid w:val="0027702D"/>
    <w:rsid w:val="00277382"/>
    <w:rsid w:val="00277BC0"/>
    <w:rsid w:val="00280E80"/>
    <w:rsid w:val="0028105E"/>
    <w:rsid w:val="00284678"/>
    <w:rsid w:val="0028665C"/>
    <w:rsid w:val="00287A37"/>
    <w:rsid w:val="00290CA7"/>
    <w:rsid w:val="002912BA"/>
    <w:rsid w:val="00291679"/>
    <w:rsid w:val="00291FCA"/>
    <w:rsid w:val="00293828"/>
    <w:rsid w:val="0029405F"/>
    <w:rsid w:val="00296BEC"/>
    <w:rsid w:val="002A007C"/>
    <w:rsid w:val="002A139A"/>
    <w:rsid w:val="002A46E9"/>
    <w:rsid w:val="002A4A03"/>
    <w:rsid w:val="002A5D20"/>
    <w:rsid w:val="002A62E5"/>
    <w:rsid w:val="002A63A4"/>
    <w:rsid w:val="002A77D1"/>
    <w:rsid w:val="002B025E"/>
    <w:rsid w:val="002B058F"/>
    <w:rsid w:val="002B113D"/>
    <w:rsid w:val="002B2BB0"/>
    <w:rsid w:val="002B3313"/>
    <w:rsid w:val="002B4319"/>
    <w:rsid w:val="002B4C3A"/>
    <w:rsid w:val="002B5361"/>
    <w:rsid w:val="002B617D"/>
    <w:rsid w:val="002B6577"/>
    <w:rsid w:val="002B67C9"/>
    <w:rsid w:val="002B731F"/>
    <w:rsid w:val="002B7EFC"/>
    <w:rsid w:val="002C433F"/>
    <w:rsid w:val="002C4DF9"/>
    <w:rsid w:val="002C5204"/>
    <w:rsid w:val="002C5AFE"/>
    <w:rsid w:val="002C75CC"/>
    <w:rsid w:val="002D0963"/>
    <w:rsid w:val="002D3982"/>
    <w:rsid w:val="002D3A04"/>
    <w:rsid w:val="002D46DA"/>
    <w:rsid w:val="002D46EF"/>
    <w:rsid w:val="002D4B5C"/>
    <w:rsid w:val="002D5685"/>
    <w:rsid w:val="002D62C5"/>
    <w:rsid w:val="002D753B"/>
    <w:rsid w:val="002D77C5"/>
    <w:rsid w:val="002E20DD"/>
    <w:rsid w:val="002E3783"/>
    <w:rsid w:val="002E64A4"/>
    <w:rsid w:val="002E67F8"/>
    <w:rsid w:val="002E69B6"/>
    <w:rsid w:val="002E6F0D"/>
    <w:rsid w:val="002E6FAD"/>
    <w:rsid w:val="002F00BB"/>
    <w:rsid w:val="002F0448"/>
    <w:rsid w:val="002F0CE8"/>
    <w:rsid w:val="002F2DAF"/>
    <w:rsid w:val="002F43AB"/>
    <w:rsid w:val="002F45CB"/>
    <w:rsid w:val="002F7346"/>
    <w:rsid w:val="00301B51"/>
    <w:rsid w:val="00303F2C"/>
    <w:rsid w:val="0030488A"/>
    <w:rsid w:val="0030488D"/>
    <w:rsid w:val="00305883"/>
    <w:rsid w:val="003065E9"/>
    <w:rsid w:val="00306767"/>
    <w:rsid w:val="00307325"/>
    <w:rsid w:val="00307D46"/>
    <w:rsid w:val="003115EA"/>
    <w:rsid w:val="00312D09"/>
    <w:rsid w:val="003139A6"/>
    <w:rsid w:val="003159CC"/>
    <w:rsid w:val="00317CD7"/>
    <w:rsid w:val="00317DE0"/>
    <w:rsid w:val="00321860"/>
    <w:rsid w:val="003235EB"/>
    <w:rsid w:val="0032373C"/>
    <w:rsid w:val="00325655"/>
    <w:rsid w:val="0032707E"/>
    <w:rsid w:val="0033042F"/>
    <w:rsid w:val="003305D2"/>
    <w:rsid w:val="00330DEB"/>
    <w:rsid w:val="00331DD6"/>
    <w:rsid w:val="00333B2F"/>
    <w:rsid w:val="00334D27"/>
    <w:rsid w:val="00337AFD"/>
    <w:rsid w:val="0034156F"/>
    <w:rsid w:val="00342B3F"/>
    <w:rsid w:val="00342F7A"/>
    <w:rsid w:val="0034385F"/>
    <w:rsid w:val="00343B02"/>
    <w:rsid w:val="00343B41"/>
    <w:rsid w:val="003443B1"/>
    <w:rsid w:val="00344F67"/>
    <w:rsid w:val="003455FB"/>
    <w:rsid w:val="00345706"/>
    <w:rsid w:val="00346E79"/>
    <w:rsid w:val="00347898"/>
    <w:rsid w:val="00347C71"/>
    <w:rsid w:val="00347D81"/>
    <w:rsid w:val="00350A64"/>
    <w:rsid w:val="0035184B"/>
    <w:rsid w:val="00352435"/>
    <w:rsid w:val="003524EB"/>
    <w:rsid w:val="00354847"/>
    <w:rsid w:val="00354D63"/>
    <w:rsid w:val="00355285"/>
    <w:rsid w:val="0035658B"/>
    <w:rsid w:val="00356832"/>
    <w:rsid w:val="0035737D"/>
    <w:rsid w:val="0036011B"/>
    <w:rsid w:val="0036047E"/>
    <w:rsid w:val="00363323"/>
    <w:rsid w:val="00363E63"/>
    <w:rsid w:val="003640E5"/>
    <w:rsid w:val="00364476"/>
    <w:rsid w:val="00364A8F"/>
    <w:rsid w:val="0036516C"/>
    <w:rsid w:val="00365D68"/>
    <w:rsid w:val="00366D68"/>
    <w:rsid w:val="00371828"/>
    <w:rsid w:val="00371963"/>
    <w:rsid w:val="00371C85"/>
    <w:rsid w:val="00373F9D"/>
    <w:rsid w:val="00374467"/>
    <w:rsid w:val="003745FF"/>
    <w:rsid w:val="00374B90"/>
    <w:rsid w:val="0037511B"/>
    <w:rsid w:val="00375A11"/>
    <w:rsid w:val="00376254"/>
    <w:rsid w:val="0037709E"/>
    <w:rsid w:val="00380056"/>
    <w:rsid w:val="00381F22"/>
    <w:rsid w:val="003831A6"/>
    <w:rsid w:val="00384E8B"/>
    <w:rsid w:val="0038500A"/>
    <w:rsid w:val="00385765"/>
    <w:rsid w:val="00386C31"/>
    <w:rsid w:val="00390947"/>
    <w:rsid w:val="00391C78"/>
    <w:rsid w:val="00394109"/>
    <w:rsid w:val="00394FBC"/>
    <w:rsid w:val="003963FA"/>
    <w:rsid w:val="00396859"/>
    <w:rsid w:val="003974F8"/>
    <w:rsid w:val="003A1B12"/>
    <w:rsid w:val="003A23E4"/>
    <w:rsid w:val="003A26B5"/>
    <w:rsid w:val="003A49D8"/>
    <w:rsid w:val="003B1210"/>
    <w:rsid w:val="003B14A1"/>
    <w:rsid w:val="003B1B85"/>
    <w:rsid w:val="003B2E1F"/>
    <w:rsid w:val="003B35A5"/>
    <w:rsid w:val="003B4ABA"/>
    <w:rsid w:val="003B55C2"/>
    <w:rsid w:val="003B61D6"/>
    <w:rsid w:val="003B65D3"/>
    <w:rsid w:val="003B692B"/>
    <w:rsid w:val="003B7649"/>
    <w:rsid w:val="003B76CF"/>
    <w:rsid w:val="003B7B25"/>
    <w:rsid w:val="003C0556"/>
    <w:rsid w:val="003C0E1C"/>
    <w:rsid w:val="003C1005"/>
    <w:rsid w:val="003C2454"/>
    <w:rsid w:val="003C3C52"/>
    <w:rsid w:val="003C4422"/>
    <w:rsid w:val="003C44D9"/>
    <w:rsid w:val="003C5FE1"/>
    <w:rsid w:val="003C614E"/>
    <w:rsid w:val="003C689C"/>
    <w:rsid w:val="003C6951"/>
    <w:rsid w:val="003C7F54"/>
    <w:rsid w:val="003D0FA7"/>
    <w:rsid w:val="003D1203"/>
    <w:rsid w:val="003D2A30"/>
    <w:rsid w:val="003D58DF"/>
    <w:rsid w:val="003D6046"/>
    <w:rsid w:val="003E0230"/>
    <w:rsid w:val="003E0613"/>
    <w:rsid w:val="003E089F"/>
    <w:rsid w:val="003E49A6"/>
    <w:rsid w:val="003E5239"/>
    <w:rsid w:val="003E5ADA"/>
    <w:rsid w:val="003E5C15"/>
    <w:rsid w:val="003E64D6"/>
    <w:rsid w:val="003F30E4"/>
    <w:rsid w:val="003F3234"/>
    <w:rsid w:val="003F4C1B"/>
    <w:rsid w:val="003F5F51"/>
    <w:rsid w:val="003F7222"/>
    <w:rsid w:val="003F7CC6"/>
    <w:rsid w:val="004041D4"/>
    <w:rsid w:val="0040719E"/>
    <w:rsid w:val="004079CD"/>
    <w:rsid w:val="004112CD"/>
    <w:rsid w:val="004123A3"/>
    <w:rsid w:val="004127E5"/>
    <w:rsid w:val="004128C4"/>
    <w:rsid w:val="00413087"/>
    <w:rsid w:val="0041456C"/>
    <w:rsid w:val="00415098"/>
    <w:rsid w:val="00416E66"/>
    <w:rsid w:val="00417580"/>
    <w:rsid w:val="004204B9"/>
    <w:rsid w:val="00422EDF"/>
    <w:rsid w:val="004235EE"/>
    <w:rsid w:val="004255B4"/>
    <w:rsid w:val="00425A43"/>
    <w:rsid w:val="00425EAE"/>
    <w:rsid w:val="004271E0"/>
    <w:rsid w:val="00431E69"/>
    <w:rsid w:val="00431EDD"/>
    <w:rsid w:val="00433A4D"/>
    <w:rsid w:val="00435A09"/>
    <w:rsid w:val="004368FB"/>
    <w:rsid w:val="00436BA4"/>
    <w:rsid w:val="004419D5"/>
    <w:rsid w:val="004425AB"/>
    <w:rsid w:val="00443E73"/>
    <w:rsid w:val="00445483"/>
    <w:rsid w:val="00445954"/>
    <w:rsid w:val="00446303"/>
    <w:rsid w:val="0044650F"/>
    <w:rsid w:val="00451B53"/>
    <w:rsid w:val="00452589"/>
    <w:rsid w:val="00452804"/>
    <w:rsid w:val="00452E47"/>
    <w:rsid w:val="004533D3"/>
    <w:rsid w:val="0045444B"/>
    <w:rsid w:val="00454E68"/>
    <w:rsid w:val="00455141"/>
    <w:rsid w:val="004608B3"/>
    <w:rsid w:val="00460CE5"/>
    <w:rsid w:val="00461AEB"/>
    <w:rsid w:val="00461BCB"/>
    <w:rsid w:val="00462BA6"/>
    <w:rsid w:val="004636A5"/>
    <w:rsid w:val="00464D01"/>
    <w:rsid w:val="00465755"/>
    <w:rsid w:val="00466684"/>
    <w:rsid w:val="00467144"/>
    <w:rsid w:val="0046726B"/>
    <w:rsid w:val="00467D2C"/>
    <w:rsid w:val="00471004"/>
    <w:rsid w:val="004712B8"/>
    <w:rsid w:val="00472624"/>
    <w:rsid w:val="004729A1"/>
    <w:rsid w:val="00472EF9"/>
    <w:rsid w:val="0047514E"/>
    <w:rsid w:val="00475FC3"/>
    <w:rsid w:val="00477274"/>
    <w:rsid w:val="00477B81"/>
    <w:rsid w:val="0048065F"/>
    <w:rsid w:val="0048123F"/>
    <w:rsid w:val="00485BB1"/>
    <w:rsid w:val="004862C8"/>
    <w:rsid w:val="004876B2"/>
    <w:rsid w:val="00493431"/>
    <w:rsid w:val="00493E59"/>
    <w:rsid w:val="00496E7F"/>
    <w:rsid w:val="004970E5"/>
    <w:rsid w:val="004979B8"/>
    <w:rsid w:val="00497D53"/>
    <w:rsid w:val="004A02A4"/>
    <w:rsid w:val="004A1379"/>
    <w:rsid w:val="004A37A6"/>
    <w:rsid w:val="004A44FE"/>
    <w:rsid w:val="004A45C9"/>
    <w:rsid w:val="004A574A"/>
    <w:rsid w:val="004A5B1D"/>
    <w:rsid w:val="004A6A8D"/>
    <w:rsid w:val="004B013F"/>
    <w:rsid w:val="004B1640"/>
    <w:rsid w:val="004B235F"/>
    <w:rsid w:val="004B251D"/>
    <w:rsid w:val="004B2A84"/>
    <w:rsid w:val="004B415A"/>
    <w:rsid w:val="004B49B6"/>
    <w:rsid w:val="004B596F"/>
    <w:rsid w:val="004C07F3"/>
    <w:rsid w:val="004C0A16"/>
    <w:rsid w:val="004C1790"/>
    <w:rsid w:val="004C278D"/>
    <w:rsid w:val="004C2835"/>
    <w:rsid w:val="004C30D1"/>
    <w:rsid w:val="004C783F"/>
    <w:rsid w:val="004D0C06"/>
    <w:rsid w:val="004D1C88"/>
    <w:rsid w:val="004D2BC3"/>
    <w:rsid w:val="004D2D1C"/>
    <w:rsid w:val="004D4230"/>
    <w:rsid w:val="004D435B"/>
    <w:rsid w:val="004D63EF"/>
    <w:rsid w:val="004E09B3"/>
    <w:rsid w:val="004E107A"/>
    <w:rsid w:val="004E1AF2"/>
    <w:rsid w:val="004E1F41"/>
    <w:rsid w:val="004E2181"/>
    <w:rsid w:val="004E23B9"/>
    <w:rsid w:val="004E25B2"/>
    <w:rsid w:val="004E5F26"/>
    <w:rsid w:val="004E7943"/>
    <w:rsid w:val="004F2DE4"/>
    <w:rsid w:val="004F320B"/>
    <w:rsid w:val="004F3835"/>
    <w:rsid w:val="004F4B0F"/>
    <w:rsid w:val="004F58F5"/>
    <w:rsid w:val="004F61F1"/>
    <w:rsid w:val="004F7176"/>
    <w:rsid w:val="004F72E3"/>
    <w:rsid w:val="00500BC4"/>
    <w:rsid w:val="0050288D"/>
    <w:rsid w:val="0050596C"/>
    <w:rsid w:val="00506E6D"/>
    <w:rsid w:val="00513ECE"/>
    <w:rsid w:val="00514F8B"/>
    <w:rsid w:val="00520115"/>
    <w:rsid w:val="005224F3"/>
    <w:rsid w:val="0052370A"/>
    <w:rsid w:val="005247CB"/>
    <w:rsid w:val="0052505D"/>
    <w:rsid w:val="005255A6"/>
    <w:rsid w:val="005321D5"/>
    <w:rsid w:val="005326CC"/>
    <w:rsid w:val="00533109"/>
    <w:rsid w:val="00533DBA"/>
    <w:rsid w:val="00534457"/>
    <w:rsid w:val="005361E9"/>
    <w:rsid w:val="0053756C"/>
    <w:rsid w:val="00540765"/>
    <w:rsid w:val="00540DDE"/>
    <w:rsid w:val="0054158F"/>
    <w:rsid w:val="00541FA3"/>
    <w:rsid w:val="00544194"/>
    <w:rsid w:val="005461A5"/>
    <w:rsid w:val="005468A2"/>
    <w:rsid w:val="00546DBF"/>
    <w:rsid w:val="00547A11"/>
    <w:rsid w:val="00547F35"/>
    <w:rsid w:val="00555A80"/>
    <w:rsid w:val="00556EE1"/>
    <w:rsid w:val="00561C9A"/>
    <w:rsid w:val="00562A2C"/>
    <w:rsid w:val="00562BD5"/>
    <w:rsid w:val="00564635"/>
    <w:rsid w:val="0056680E"/>
    <w:rsid w:val="00566D6E"/>
    <w:rsid w:val="00570F9D"/>
    <w:rsid w:val="00573CF2"/>
    <w:rsid w:val="00574EDD"/>
    <w:rsid w:val="0058006D"/>
    <w:rsid w:val="0058052D"/>
    <w:rsid w:val="0058058A"/>
    <w:rsid w:val="005806D5"/>
    <w:rsid w:val="005820F9"/>
    <w:rsid w:val="00583D17"/>
    <w:rsid w:val="0058526B"/>
    <w:rsid w:val="00585ACB"/>
    <w:rsid w:val="00591E8D"/>
    <w:rsid w:val="00594469"/>
    <w:rsid w:val="00594E6B"/>
    <w:rsid w:val="005954ED"/>
    <w:rsid w:val="00596202"/>
    <w:rsid w:val="005965AF"/>
    <w:rsid w:val="005977D2"/>
    <w:rsid w:val="005A09F6"/>
    <w:rsid w:val="005A173C"/>
    <w:rsid w:val="005A178B"/>
    <w:rsid w:val="005A2EF5"/>
    <w:rsid w:val="005A3248"/>
    <w:rsid w:val="005A34BA"/>
    <w:rsid w:val="005A41D3"/>
    <w:rsid w:val="005A4306"/>
    <w:rsid w:val="005A6A59"/>
    <w:rsid w:val="005A70C8"/>
    <w:rsid w:val="005A76E3"/>
    <w:rsid w:val="005A7DEB"/>
    <w:rsid w:val="005B0C7D"/>
    <w:rsid w:val="005B19C7"/>
    <w:rsid w:val="005B3236"/>
    <w:rsid w:val="005B4B43"/>
    <w:rsid w:val="005B4C57"/>
    <w:rsid w:val="005B6FC5"/>
    <w:rsid w:val="005C1F89"/>
    <w:rsid w:val="005C28C9"/>
    <w:rsid w:val="005C2C5C"/>
    <w:rsid w:val="005C3B6F"/>
    <w:rsid w:val="005C489E"/>
    <w:rsid w:val="005C4D2E"/>
    <w:rsid w:val="005C5045"/>
    <w:rsid w:val="005C6026"/>
    <w:rsid w:val="005C6873"/>
    <w:rsid w:val="005C7D55"/>
    <w:rsid w:val="005D0551"/>
    <w:rsid w:val="005D15E0"/>
    <w:rsid w:val="005D2647"/>
    <w:rsid w:val="005D285A"/>
    <w:rsid w:val="005D2FEF"/>
    <w:rsid w:val="005D3216"/>
    <w:rsid w:val="005D3726"/>
    <w:rsid w:val="005D409D"/>
    <w:rsid w:val="005D4677"/>
    <w:rsid w:val="005D71A4"/>
    <w:rsid w:val="005E398B"/>
    <w:rsid w:val="005E5A4D"/>
    <w:rsid w:val="005E6F08"/>
    <w:rsid w:val="005F2004"/>
    <w:rsid w:val="005F30E9"/>
    <w:rsid w:val="005F5353"/>
    <w:rsid w:val="005F5C51"/>
    <w:rsid w:val="0060025E"/>
    <w:rsid w:val="006005D5"/>
    <w:rsid w:val="00600657"/>
    <w:rsid w:val="00600E28"/>
    <w:rsid w:val="0060240D"/>
    <w:rsid w:val="0060300C"/>
    <w:rsid w:val="006068D0"/>
    <w:rsid w:val="00610502"/>
    <w:rsid w:val="00611056"/>
    <w:rsid w:val="00612374"/>
    <w:rsid w:val="00613F54"/>
    <w:rsid w:val="00613F73"/>
    <w:rsid w:val="00614A02"/>
    <w:rsid w:val="00623BBE"/>
    <w:rsid w:val="00624052"/>
    <w:rsid w:val="00625493"/>
    <w:rsid w:val="006259AA"/>
    <w:rsid w:val="006269CE"/>
    <w:rsid w:val="006275D7"/>
    <w:rsid w:val="00630D2D"/>
    <w:rsid w:val="00632222"/>
    <w:rsid w:val="0063497B"/>
    <w:rsid w:val="0063571F"/>
    <w:rsid w:val="00637D5B"/>
    <w:rsid w:val="006421BC"/>
    <w:rsid w:val="00642F62"/>
    <w:rsid w:val="00643ACC"/>
    <w:rsid w:val="00644FBF"/>
    <w:rsid w:val="00650921"/>
    <w:rsid w:val="00651A2E"/>
    <w:rsid w:val="00651F6F"/>
    <w:rsid w:val="00652795"/>
    <w:rsid w:val="00653D13"/>
    <w:rsid w:val="0065447B"/>
    <w:rsid w:val="00654D5D"/>
    <w:rsid w:val="00654FA7"/>
    <w:rsid w:val="006550DB"/>
    <w:rsid w:val="00655F1A"/>
    <w:rsid w:val="006571E5"/>
    <w:rsid w:val="00657585"/>
    <w:rsid w:val="00660650"/>
    <w:rsid w:val="0066117E"/>
    <w:rsid w:val="00662886"/>
    <w:rsid w:val="00662E1E"/>
    <w:rsid w:val="0066322D"/>
    <w:rsid w:val="00664378"/>
    <w:rsid w:val="0066568A"/>
    <w:rsid w:val="00670BA9"/>
    <w:rsid w:val="00671853"/>
    <w:rsid w:val="0067369C"/>
    <w:rsid w:val="00675932"/>
    <w:rsid w:val="00681569"/>
    <w:rsid w:val="00681FAA"/>
    <w:rsid w:val="0068388C"/>
    <w:rsid w:val="00684C20"/>
    <w:rsid w:val="006851CA"/>
    <w:rsid w:val="006875F1"/>
    <w:rsid w:val="00687A6B"/>
    <w:rsid w:val="00690FA9"/>
    <w:rsid w:val="0069164D"/>
    <w:rsid w:val="006948F5"/>
    <w:rsid w:val="00695B5D"/>
    <w:rsid w:val="006965FC"/>
    <w:rsid w:val="006979EF"/>
    <w:rsid w:val="006A15CC"/>
    <w:rsid w:val="006A595B"/>
    <w:rsid w:val="006A5B3A"/>
    <w:rsid w:val="006A6820"/>
    <w:rsid w:val="006A7079"/>
    <w:rsid w:val="006A7EB4"/>
    <w:rsid w:val="006B1257"/>
    <w:rsid w:val="006B3D3D"/>
    <w:rsid w:val="006B41D1"/>
    <w:rsid w:val="006B533C"/>
    <w:rsid w:val="006B60A0"/>
    <w:rsid w:val="006B73B6"/>
    <w:rsid w:val="006B7430"/>
    <w:rsid w:val="006B7DA3"/>
    <w:rsid w:val="006C1EAA"/>
    <w:rsid w:val="006C2117"/>
    <w:rsid w:val="006C27AE"/>
    <w:rsid w:val="006C2E31"/>
    <w:rsid w:val="006C6657"/>
    <w:rsid w:val="006C66CB"/>
    <w:rsid w:val="006C6FC9"/>
    <w:rsid w:val="006C7DB4"/>
    <w:rsid w:val="006D35BD"/>
    <w:rsid w:val="006D3EED"/>
    <w:rsid w:val="006D6E78"/>
    <w:rsid w:val="006D7746"/>
    <w:rsid w:val="006E1C81"/>
    <w:rsid w:val="006E2576"/>
    <w:rsid w:val="006E4A20"/>
    <w:rsid w:val="006E4E20"/>
    <w:rsid w:val="006E6B3C"/>
    <w:rsid w:val="006F02A9"/>
    <w:rsid w:val="006F2D58"/>
    <w:rsid w:val="006F3B53"/>
    <w:rsid w:val="006F51A4"/>
    <w:rsid w:val="006F66C0"/>
    <w:rsid w:val="006F67EF"/>
    <w:rsid w:val="006F7D02"/>
    <w:rsid w:val="007016EF"/>
    <w:rsid w:val="0070205B"/>
    <w:rsid w:val="00704450"/>
    <w:rsid w:val="00704F30"/>
    <w:rsid w:val="0070748B"/>
    <w:rsid w:val="007121F2"/>
    <w:rsid w:val="00714319"/>
    <w:rsid w:val="00715D17"/>
    <w:rsid w:val="0072084E"/>
    <w:rsid w:val="00723863"/>
    <w:rsid w:val="007238C1"/>
    <w:rsid w:val="00723D16"/>
    <w:rsid w:val="00724003"/>
    <w:rsid w:val="00725CF3"/>
    <w:rsid w:val="00725D4C"/>
    <w:rsid w:val="0072608C"/>
    <w:rsid w:val="00726253"/>
    <w:rsid w:val="0073092F"/>
    <w:rsid w:val="00731125"/>
    <w:rsid w:val="007314D5"/>
    <w:rsid w:val="00731B6F"/>
    <w:rsid w:val="00732F43"/>
    <w:rsid w:val="00732F89"/>
    <w:rsid w:val="007332C7"/>
    <w:rsid w:val="0073359E"/>
    <w:rsid w:val="00737361"/>
    <w:rsid w:val="0074452D"/>
    <w:rsid w:val="00744593"/>
    <w:rsid w:val="0074466E"/>
    <w:rsid w:val="00744E82"/>
    <w:rsid w:val="0074504D"/>
    <w:rsid w:val="00750B0D"/>
    <w:rsid w:val="007511AD"/>
    <w:rsid w:val="00751346"/>
    <w:rsid w:val="007549FD"/>
    <w:rsid w:val="00757042"/>
    <w:rsid w:val="00757EBD"/>
    <w:rsid w:val="00762194"/>
    <w:rsid w:val="00763660"/>
    <w:rsid w:val="00766241"/>
    <w:rsid w:val="00771468"/>
    <w:rsid w:val="00771D42"/>
    <w:rsid w:val="00776B2B"/>
    <w:rsid w:val="00777337"/>
    <w:rsid w:val="0077762B"/>
    <w:rsid w:val="00781B36"/>
    <w:rsid w:val="00781B5F"/>
    <w:rsid w:val="0078321F"/>
    <w:rsid w:val="0078345B"/>
    <w:rsid w:val="00783749"/>
    <w:rsid w:val="00785E34"/>
    <w:rsid w:val="00785F1B"/>
    <w:rsid w:val="00786303"/>
    <w:rsid w:val="007869CF"/>
    <w:rsid w:val="007904E3"/>
    <w:rsid w:val="00792840"/>
    <w:rsid w:val="00792C0D"/>
    <w:rsid w:val="0079410F"/>
    <w:rsid w:val="00795200"/>
    <w:rsid w:val="00796743"/>
    <w:rsid w:val="007971E2"/>
    <w:rsid w:val="00797A4C"/>
    <w:rsid w:val="007A0B59"/>
    <w:rsid w:val="007A1CD0"/>
    <w:rsid w:val="007A3A82"/>
    <w:rsid w:val="007A414F"/>
    <w:rsid w:val="007A4A97"/>
    <w:rsid w:val="007A5801"/>
    <w:rsid w:val="007A74D0"/>
    <w:rsid w:val="007A78DA"/>
    <w:rsid w:val="007A79D4"/>
    <w:rsid w:val="007B0073"/>
    <w:rsid w:val="007B189A"/>
    <w:rsid w:val="007B6C89"/>
    <w:rsid w:val="007B7110"/>
    <w:rsid w:val="007C2196"/>
    <w:rsid w:val="007C250D"/>
    <w:rsid w:val="007C26AA"/>
    <w:rsid w:val="007C48CF"/>
    <w:rsid w:val="007C4FF4"/>
    <w:rsid w:val="007C5680"/>
    <w:rsid w:val="007D0791"/>
    <w:rsid w:val="007D164F"/>
    <w:rsid w:val="007D1929"/>
    <w:rsid w:val="007D2FD3"/>
    <w:rsid w:val="007D3276"/>
    <w:rsid w:val="007D3896"/>
    <w:rsid w:val="007D4A37"/>
    <w:rsid w:val="007E0A72"/>
    <w:rsid w:val="007E44D9"/>
    <w:rsid w:val="007E659C"/>
    <w:rsid w:val="007F1307"/>
    <w:rsid w:val="007F23CF"/>
    <w:rsid w:val="007F6069"/>
    <w:rsid w:val="007F6635"/>
    <w:rsid w:val="007F7663"/>
    <w:rsid w:val="00800BCD"/>
    <w:rsid w:val="00801D7A"/>
    <w:rsid w:val="00804360"/>
    <w:rsid w:val="0080541B"/>
    <w:rsid w:val="0080568A"/>
    <w:rsid w:val="00805D7C"/>
    <w:rsid w:val="00806AAF"/>
    <w:rsid w:val="00810887"/>
    <w:rsid w:val="00811223"/>
    <w:rsid w:val="00812A6F"/>
    <w:rsid w:val="00812CAD"/>
    <w:rsid w:val="00812D81"/>
    <w:rsid w:val="00813F61"/>
    <w:rsid w:val="0081588D"/>
    <w:rsid w:val="00820580"/>
    <w:rsid w:val="00820AB1"/>
    <w:rsid w:val="00822791"/>
    <w:rsid w:val="00822CF5"/>
    <w:rsid w:val="00823034"/>
    <w:rsid w:val="0082683F"/>
    <w:rsid w:val="0083025B"/>
    <w:rsid w:val="0083059C"/>
    <w:rsid w:val="0083153C"/>
    <w:rsid w:val="0083204F"/>
    <w:rsid w:val="00832953"/>
    <w:rsid w:val="008329EF"/>
    <w:rsid w:val="00835A2A"/>
    <w:rsid w:val="00840074"/>
    <w:rsid w:val="0084137E"/>
    <w:rsid w:val="008427AC"/>
    <w:rsid w:val="00843474"/>
    <w:rsid w:val="0084348E"/>
    <w:rsid w:val="008442F2"/>
    <w:rsid w:val="00844F64"/>
    <w:rsid w:val="00845DC7"/>
    <w:rsid w:val="008463FB"/>
    <w:rsid w:val="0084667D"/>
    <w:rsid w:val="00846728"/>
    <w:rsid w:val="0085122F"/>
    <w:rsid w:val="00851EE2"/>
    <w:rsid w:val="00852E3D"/>
    <w:rsid w:val="00853503"/>
    <w:rsid w:val="008547C6"/>
    <w:rsid w:val="0085538E"/>
    <w:rsid w:val="00855A4A"/>
    <w:rsid w:val="00860582"/>
    <w:rsid w:val="00861ABE"/>
    <w:rsid w:val="00861B70"/>
    <w:rsid w:val="00861F5D"/>
    <w:rsid w:val="008628EC"/>
    <w:rsid w:val="008641A9"/>
    <w:rsid w:val="008649A7"/>
    <w:rsid w:val="00865DA2"/>
    <w:rsid w:val="00865F08"/>
    <w:rsid w:val="0086622F"/>
    <w:rsid w:val="0086762E"/>
    <w:rsid w:val="00870583"/>
    <w:rsid w:val="0087143B"/>
    <w:rsid w:val="0087381C"/>
    <w:rsid w:val="00874615"/>
    <w:rsid w:val="008752A0"/>
    <w:rsid w:val="00875BEC"/>
    <w:rsid w:val="00877AB3"/>
    <w:rsid w:val="00880197"/>
    <w:rsid w:val="00880858"/>
    <w:rsid w:val="00880A84"/>
    <w:rsid w:val="008813CB"/>
    <w:rsid w:val="00882BE5"/>
    <w:rsid w:val="008831BC"/>
    <w:rsid w:val="00883786"/>
    <w:rsid w:val="008867BB"/>
    <w:rsid w:val="00886885"/>
    <w:rsid w:val="00886AD3"/>
    <w:rsid w:val="008878F8"/>
    <w:rsid w:val="00887D7E"/>
    <w:rsid w:val="0089069C"/>
    <w:rsid w:val="00890A09"/>
    <w:rsid w:val="0089259B"/>
    <w:rsid w:val="0089359B"/>
    <w:rsid w:val="0089526A"/>
    <w:rsid w:val="00896CDC"/>
    <w:rsid w:val="00897374"/>
    <w:rsid w:val="00897E6F"/>
    <w:rsid w:val="008A0844"/>
    <w:rsid w:val="008A14E9"/>
    <w:rsid w:val="008A2E00"/>
    <w:rsid w:val="008A2E29"/>
    <w:rsid w:val="008A3335"/>
    <w:rsid w:val="008A349B"/>
    <w:rsid w:val="008A35B3"/>
    <w:rsid w:val="008A378E"/>
    <w:rsid w:val="008A3BAE"/>
    <w:rsid w:val="008A3FAF"/>
    <w:rsid w:val="008A60FC"/>
    <w:rsid w:val="008A6764"/>
    <w:rsid w:val="008A6BD9"/>
    <w:rsid w:val="008A7049"/>
    <w:rsid w:val="008B1523"/>
    <w:rsid w:val="008B1D34"/>
    <w:rsid w:val="008B1DC9"/>
    <w:rsid w:val="008B7326"/>
    <w:rsid w:val="008C04C4"/>
    <w:rsid w:val="008C0C47"/>
    <w:rsid w:val="008C32FE"/>
    <w:rsid w:val="008C42E8"/>
    <w:rsid w:val="008C5025"/>
    <w:rsid w:val="008C6175"/>
    <w:rsid w:val="008C7564"/>
    <w:rsid w:val="008D03DA"/>
    <w:rsid w:val="008D7B37"/>
    <w:rsid w:val="008E0B10"/>
    <w:rsid w:val="008E1B3B"/>
    <w:rsid w:val="008E245D"/>
    <w:rsid w:val="008E4669"/>
    <w:rsid w:val="008E65B2"/>
    <w:rsid w:val="008E7947"/>
    <w:rsid w:val="008F2C7A"/>
    <w:rsid w:val="008F30B3"/>
    <w:rsid w:val="008F453E"/>
    <w:rsid w:val="008F5762"/>
    <w:rsid w:val="008F66F2"/>
    <w:rsid w:val="00902624"/>
    <w:rsid w:val="00902C77"/>
    <w:rsid w:val="00903ADB"/>
    <w:rsid w:val="009046AC"/>
    <w:rsid w:val="00905AD0"/>
    <w:rsid w:val="00906593"/>
    <w:rsid w:val="0090688B"/>
    <w:rsid w:val="00906B54"/>
    <w:rsid w:val="00907B7D"/>
    <w:rsid w:val="00910265"/>
    <w:rsid w:val="00910A6B"/>
    <w:rsid w:val="00912E9F"/>
    <w:rsid w:val="0091385F"/>
    <w:rsid w:val="009155DB"/>
    <w:rsid w:val="009156FD"/>
    <w:rsid w:val="00916FC4"/>
    <w:rsid w:val="0091753E"/>
    <w:rsid w:val="00920B32"/>
    <w:rsid w:val="00926E02"/>
    <w:rsid w:val="009307A5"/>
    <w:rsid w:val="00934C66"/>
    <w:rsid w:val="0093604B"/>
    <w:rsid w:val="00936BD2"/>
    <w:rsid w:val="009409A8"/>
    <w:rsid w:val="00941D69"/>
    <w:rsid w:val="00942374"/>
    <w:rsid w:val="00942927"/>
    <w:rsid w:val="00942D32"/>
    <w:rsid w:val="00943A1A"/>
    <w:rsid w:val="009446E5"/>
    <w:rsid w:val="00946C4C"/>
    <w:rsid w:val="00946EC9"/>
    <w:rsid w:val="009470CD"/>
    <w:rsid w:val="00947144"/>
    <w:rsid w:val="009500D6"/>
    <w:rsid w:val="0095229A"/>
    <w:rsid w:val="0095573C"/>
    <w:rsid w:val="0095666D"/>
    <w:rsid w:val="00957866"/>
    <w:rsid w:val="00957EAF"/>
    <w:rsid w:val="0096156F"/>
    <w:rsid w:val="0096200D"/>
    <w:rsid w:val="00962011"/>
    <w:rsid w:val="009640CE"/>
    <w:rsid w:val="009649D5"/>
    <w:rsid w:val="00965EF5"/>
    <w:rsid w:val="00971564"/>
    <w:rsid w:val="00972DAE"/>
    <w:rsid w:val="0097375C"/>
    <w:rsid w:val="009740C1"/>
    <w:rsid w:val="0097488C"/>
    <w:rsid w:val="00974CB2"/>
    <w:rsid w:val="00974E3E"/>
    <w:rsid w:val="00976D8A"/>
    <w:rsid w:val="009770F7"/>
    <w:rsid w:val="0098239E"/>
    <w:rsid w:val="00982A57"/>
    <w:rsid w:val="0098300A"/>
    <w:rsid w:val="0098360C"/>
    <w:rsid w:val="009840A7"/>
    <w:rsid w:val="00985024"/>
    <w:rsid w:val="00985EE4"/>
    <w:rsid w:val="009878CC"/>
    <w:rsid w:val="00987C68"/>
    <w:rsid w:val="009908D8"/>
    <w:rsid w:val="009918B9"/>
    <w:rsid w:val="009930B0"/>
    <w:rsid w:val="009934E3"/>
    <w:rsid w:val="00993C23"/>
    <w:rsid w:val="0099530C"/>
    <w:rsid w:val="009A0978"/>
    <w:rsid w:val="009A1E12"/>
    <w:rsid w:val="009A5FCB"/>
    <w:rsid w:val="009A7163"/>
    <w:rsid w:val="009B0988"/>
    <w:rsid w:val="009B1E15"/>
    <w:rsid w:val="009B42EA"/>
    <w:rsid w:val="009C02A2"/>
    <w:rsid w:val="009C1BE7"/>
    <w:rsid w:val="009C337E"/>
    <w:rsid w:val="009C349F"/>
    <w:rsid w:val="009C3BAE"/>
    <w:rsid w:val="009C4C87"/>
    <w:rsid w:val="009C50C6"/>
    <w:rsid w:val="009C5E8F"/>
    <w:rsid w:val="009C6CAF"/>
    <w:rsid w:val="009D0E1C"/>
    <w:rsid w:val="009D311B"/>
    <w:rsid w:val="009D40AD"/>
    <w:rsid w:val="009D4435"/>
    <w:rsid w:val="009D51DC"/>
    <w:rsid w:val="009D691A"/>
    <w:rsid w:val="009E03EE"/>
    <w:rsid w:val="009E0B53"/>
    <w:rsid w:val="009E0FC2"/>
    <w:rsid w:val="009E1137"/>
    <w:rsid w:val="009E1A2A"/>
    <w:rsid w:val="009E2E53"/>
    <w:rsid w:val="009E520E"/>
    <w:rsid w:val="009E540B"/>
    <w:rsid w:val="009E5C93"/>
    <w:rsid w:val="009E728A"/>
    <w:rsid w:val="009F074F"/>
    <w:rsid w:val="009F07AD"/>
    <w:rsid w:val="009F100D"/>
    <w:rsid w:val="009F2107"/>
    <w:rsid w:val="009F2E76"/>
    <w:rsid w:val="009F3678"/>
    <w:rsid w:val="009F5072"/>
    <w:rsid w:val="009F6F44"/>
    <w:rsid w:val="009F75CB"/>
    <w:rsid w:val="00A004DC"/>
    <w:rsid w:val="00A0177E"/>
    <w:rsid w:val="00A0343D"/>
    <w:rsid w:val="00A03639"/>
    <w:rsid w:val="00A045EB"/>
    <w:rsid w:val="00A05383"/>
    <w:rsid w:val="00A05AF7"/>
    <w:rsid w:val="00A06AAA"/>
    <w:rsid w:val="00A072AA"/>
    <w:rsid w:val="00A107AD"/>
    <w:rsid w:val="00A129FF"/>
    <w:rsid w:val="00A15C73"/>
    <w:rsid w:val="00A15DA9"/>
    <w:rsid w:val="00A169D4"/>
    <w:rsid w:val="00A1708B"/>
    <w:rsid w:val="00A21B66"/>
    <w:rsid w:val="00A22817"/>
    <w:rsid w:val="00A236E8"/>
    <w:rsid w:val="00A23D7E"/>
    <w:rsid w:val="00A242E2"/>
    <w:rsid w:val="00A257FF"/>
    <w:rsid w:val="00A267AB"/>
    <w:rsid w:val="00A30DB1"/>
    <w:rsid w:val="00A31A18"/>
    <w:rsid w:val="00A32AAB"/>
    <w:rsid w:val="00A32DE2"/>
    <w:rsid w:val="00A35FCE"/>
    <w:rsid w:val="00A37E11"/>
    <w:rsid w:val="00A42839"/>
    <w:rsid w:val="00A438E1"/>
    <w:rsid w:val="00A439A4"/>
    <w:rsid w:val="00A43EB7"/>
    <w:rsid w:val="00A45071"/>
    <w:rsid w:val="00A451E3"/>
    <w:rsid w:val="00A4525C"/>
    <w:rsid w:val="00A47428"/>
    <w:rsid w:val="00A47DE1"/>
    <w:rsid w:val="00A514F4"/>
    <w:rsid w:val="00A51E8E"/>
    <w:rsid w:val="00A52082"/>
    <w:rsid w:val="00A549BD"/>
    <w:rsid w:val="00A5668B"/>
    <w:rsid w:val="00A57110"/>
    <w:rsid w:val="00A6110D"/>
    <w:rsid w:val="00A61E6B"/>
    <w:rsid w:val="00A62351"/>
    <w:rsid w:val="00A64509"/>
    <w:rsid w:val="00A64EDF"/>
    <w:rsid w:val="00A65D2C"/>
    <w:rsid w:val="00A703DF"/>
    <w:rsid w:val="00A7050D"/>
    <w:rsid w:val="00A71EA6"/>
    <w:rsid w:val="00A72977"/>
    <w:rsid w:val="00A72F92"/>
    <w:rsid w:val="00A736A0"/>
    <w:rsid w:val="00A7468B"/>
    <w:rsid w:val="00A75761"/>
    <w:rsid w:val="00A76391"/>
    <w:rsid w:val="00A77A03"/>
    <w:rsid w:val="00A807D0"/>
    <w:rsid w:val="00A8329F"/>
    <w:rsid w:val="00A8549D"/>
    <w:rsid w:val="00A85644"/>
    <w:rsid w:val="00A8747C"/>
    <w:rsid w:val="00A87A10"/>
    <w:rsid w:val="00A87E78"/>
    <w:rsid w:val="00A90D07"/>
    <w:rsid w:val="00A91FD7"/>
    <w:rsid w:val="00A93BFF"/>
    <w:rsid w:val="00A96032"/>
    <w:rsid w:val="00A96C90"/>
    <w:rsid w:val="00A97ACF"/>
    <w:rsid w:val="00A97E91"/>
    <w:rsid w:val="00AA0B7E"/>
    <w:rsid w:val="00AA1212"/>
    <w:rsid w:val="00AA1F25"/>
    <w:rsid w:val="00AA29E5"/>
    <w:rsid w:val="00AA3703"/>
    <w:rsid w:val="00AA4D4B"/>
    <w:rsid w:val="00AA6CDE"/>
    <w:rsid w:val="00AB0C65"/>
    <w:rsid w:val="00AB226C"/>
    <w:rsid w:val="00AB6034"/>
    <w:rsid w:val="00AB78C2"/>
    <w:rsid w:val="00AB7AA2"/>
    <w:rsid w:val="00AC19E2"/>
    <w:rsid w:val="00AC328B"/>
    <w:rsid w:val="00AC366E"/>
    <w:rsid w:val="00AC6654"/>
    <w:rsid w:val="00AC7A8C"/>
    <w:rsid w:val="00AD2909"/>
    <w:rsid w:val="00AD57E2"/>
    <w:rsid w:val="00AD62C9"/>
    <w:rsid w:val="00AD675D"/>
    <w:rsid w:val="00AD6EFF"/>
    <w:rsid w:val="00AE1E12"/>
    <w:rsid w:val="00AE2753"/>
    <w:rsid w:val="00AE3184"/>
    <w:rsid w:val="00AE3298"/>
    <w:rsid w:val="00AE3A0D"/>
    <w:rsid w:val="00AE5CA1"/>
    <w:rsid w:val="00AE6871"/>
    <w:rsid w:val="00AE6F57"/>
    <w:rsid w:val="00AE74D8"/>
    <w:rsid w:val="00AF124F"/>
    <w:rsid w:val="00AF17FE"/>
    <w:rsid w:val="00AF1FB6"/>
    <w:rsid w:val="00AF3058"/>
    <w:rsid w:val="00AF3845"/>
    <w:rsid w:val="00AF40B9"/>
    <w:rsid w:val="00AF49EC"/>
    <w:rsid w:val="00AF5265"/>
    <w:rsid w:val="00AF5EE3"/>
    <w:rsid w:val="00AF63FF"/>
    <w:rsid w:val="00AF6B5B"/>
    <w:rsid w:val="00AF6CE4"/>
    <w:rsid w:val="00AF7D8F"/>
    <w:rsid w:val="00B006F9"/>
    <w:rsid w:val="00B00E5E"/>
    <w:rsid w:val="00B0136B"/>
    <w:rsid w:val="00B01CB8"/>
    <w:rsid w:val="00B056E5"/>
    <w:rsid w:val="00B10FE7"/>
    <w:rsid w:val="00B11BB6"/>
    <w:rsid w:val="00B127C9"/>
    <w:rsid w:val="00B12AB7"/>
    <w:rsid w:val="00B139DB"/>
    <w:rsid w:val="00B144A1"/>
    <w:rsid w:val="00B15984"/>
    <w:rsid w:val="00B159C5"/>
    <w:rsid w:val="00B17A14"/>
    <w:rsid w:val="00B20498"/>
    <w:rsid w:val="00B215A0"/>
    <w:rsid w:val="00B216D6"/>
    <w:rsid w:val="00B21996"/>
    <w:rsid w:val="00B21D0B"/>
    <w:rsid w:val="00B220A3"/>
    <w:rsid w:val="00B226C8"/>
    <w:rsid w:val="00B23DA8"/>
    <w:rsid w:val="00B261E8"/>
    <w:rsid w:val="00B2692B"/>
    <w:rsid w:val="00B27913"/>
    <w:rsid w:val="00B30231"/>
    <w:rsid w:val="00B30548"/>
    <w:rsid w:val="00B32724"/>
    <w:rsid w:val="00B32FB7"/>
    <w:rsid w:val="00B356B6"/>
    <w:rsid w:val="00B35F30"/>
    <w:rsid w:val="00B36453"/>
    <w:rsid w:val="00B3704F"/>
    <w:rsid w:val="00B37413"/>
    <w:rsid w:val="00B40FC8"/>
    <w:rsid w:val="00B42B9C"/>
    <w:rsid w:val="00B43A20"/>
    <w:rsid w:val="00B451B6"/>
    <w:rsid w:val="00B511B5"/>
    <w:rsid w:val="00B52F7E"/>
    <w:rsid w:val="00B545B7"/>
    <w:rsid w:val="00B55F6B"/>
    <w:rsid w:val="00B56388"/>
    <w:rsid w:val="00B61372"/>
    <w:rsid w:val="00B614F9"/>
    <w:rsid w:val="00B615A1"/>
    <w:rsid w:val="00B61616"/>
    <w:rsid w:val="00B62A9E"/>
    <w:rsid w:val="00B63EE0"/>
    <w:rsid w:val="00B64DC4"/>
    <w:rsid w:val="00B67737"/>
    <w:rsid w:val="00B67766"/>
    <w:rsid w:val="00B72251"/>
    <w:rsid w:val="00B738F6"/>
    <w:rsid w:val="00B73ED9"/>
    <w:rsid w:val="00B7450D"/>
    <w:rsid w:val="00B75535"/>
    <w:rsid w:val="00B75CEB"/>
    <w:rsid w:val="00B76526"/>
    <w:rsid w:val="00B76833"/>
    <w:rsid w:val="00B81148"/>
    <w:rsid w:val="00B8264C"/>
    <w:rsid w:val="00B82856"/>
    <w:rsid w:val="00B82B15"/>
    <w:rsid w:val="00B8300F"/>
    <w:rsid w:val="00B837FE"/>
    <w:rsid w:val="00B90636"/>
    <w:rsid w:val="00B9069F"/>
    <w:rsid w:val="00B91E8F"/>
    <w:rsid w:val="00B92DA1"/>
    <w:rsid w:val="00B9429F"/>
    <w:rsid w:val="00B95631"/>
    <w:rsid w:val="00B964FC"/>
    <w:rsid w:val="00BA06C6"/>
    <w:rsid w:val="00BA17CB"/>
    <w:rsid w:val="00BA1BAE"/>
    <w:rsid w:val="00BA1DBC"/>
    <w:rsid w:val="00BA206E"/>
    <w:rsid w:val="00BA226A"/>
    <w:rsid w:val="00BA2BDE"/>
    <w:rsid w:val="00BA2F5A"/>
    <w:rsid w:val="00BA4013"/>
    <w:rsid w:val="00BA4836"/>
    <w:rsid w:val="00BA51FC"/>
    <w:rsid w:val="00BA5775"/>
    <w:rsid w:val="00BA69B5"/>
    <w:rsid w:val="00BA6E36"/>
    <w:rsid w:val="00BA715B"/>
    <w:rsid w:val="00BB2464"/>
    <w:rsid w:val="00BB31FB"/>
    <w:rsid w:val="00BB361C"/>
    <w:rsid w:val="00BB3BBC"/>
    <w:rsid w:val="00BB439F"/>
    <w:rsid w:val="00BB596B"/>
    <w:rsid w:val="00BB6063"/>
    <w:rsid w:val="00BB6DF6"/>
    <w:rsid w:val="00BB73B2"/>
    <w:rsid w:val="00BC08EA"/>
    <w:rsid w:val="00BC186E"/>
    <w:rsid w:val="00BC41EA"/>
    <w:rsid w:val="00BC428C"/>
    <w:rsid w:val="00BC7A51"/>
    <w:rsid w:val="00BC7B39"/>
    <w:rsid w:val="00BD11DE"/>
    <w:rsid w:val="00BD18F1"/>
    <w:rsid w:val="00BD1FEF"/>
    <w:rsid w:val="00BD270C"/>
    <w:rsid w:val="00BD32B5"/>
    <w:rsid w:val="00BD371B"/>
    <w:rsid w:val="00BD5895"/>
    <w:rsid w:val="00BD6B2F"/>
    <w:rsid w:val="00BE0B45"/>
    <w:rsid w:val="00BE4047"/>
    <w:rsid w:val="00BE692D"/>
    <w:rsid w:val="00BE6A6D"/>
    <w:rsid w:val="00BF24E9"/>
    <w:rsid w:val="00BF2574"/>
    <w:rsid w:val="00BF25B1"/>
    <w:rsid w:val="00BF2667"/>
    <w:rsid w:val="00BF2BFC"/>
    <w:rsid w:val="00BF2F81"/>
    <w:rsid w:val="00BF37A5"/>
    <w:rsid w:val="00BF39BE"/>
    <w:rsid w:val="00BF4615"/>
    <w:rsid w:val="00BF615A"/>
    <w:rsid w:val="00BF64FF"/>
    <w:rsid w:val="00C0394F"/>
    <w:rsid w:val="00C065C3"/>
    <w:rsid w:val="00C101AE"/>
    <w:rsid w:val="00C11346"/>
    <w:rsid w:val="00C11F86"/>
    <w:rsid w:val="00C143E2"/>
    <w:rsid w:val="00C170D6"/>
    <w:rsid w:val="00C21682"/>
    <w:rsid w:val="00C234D5"/>
    <w:rsid w:val="00C23A4F"/>
    <w:rsid w:val="00C23E8E"/>
    <w:rsid w:val="00C26C8D"/>
    <w:rsid w:val="00C2752F"/>
    <w:rsid w:val="00C31DD3"/>
    <w:rsid w:val="00C32953"/>
    <w:rsid w:val="00C35D13"/>
    <w:rsid w:val="00C37CBE"/>
    <w:rsid w:val="00C46940"/>
    <w:rsid w:val="00C46E3B"/>
    <w:rsid w:val="00C46FBB"/>
    <w:rsid w:val="00C4794D"/>
    <w:rsid w:val="00C51092"/>
    <w:rsid w:val="00C54755"/>
    <w:rsid w:val="00C555AC"/>
    <w:rsid w:val="00C57605"/>
    <w:rsid w:val="00C65B2C"/>
    <w:rsid w:val="00C71275"/>
    <w:rsid w:val="00C73E30"/>
    <w:rsid w:val="00C74201"/>
    <w:rsid w:val="00C75108"/>
    <w:rsid w:val="00C75FAF"/>
    <w:rsid w:val="00C765E5"/>
    <w:rsid w:val="00C7725C"/>
    <w:rsid w:val="00C80811"/>
    <w:rsid w:val="00C8316C"/>
    <w:rsid w:val="00C83D27"/>
    <w:rsid w:val="00C8594A"/>
    <w:rsid w:val="00C86CC2"/>
    <w:rsid w:val="00C904A7"/>
    <w:rsid w:val="00C926E8"/>
    <w:rsid w:val="00C92B01"/>
    <w:rsid w:val="00C955EC"/>
    <w:rsid w:val="00C95683"/>
    <w:rsid w:val="00C96DBE"/>
    <w:rsid w:val="00C96FE7"/>
    <w:rsid w:val="00CA044B"/>
    <w:rsid w:val="00CA12C7"/>
    <w:rsid w:val="00CA3638"/>
    <w:rsid w:val="00CA5274"/>
    <w:rsid w:val="00CA7DDF"/>
    <w:rsid w:val="00CB17BC"/>
    <w:rsid w:val="00CB185C"/>
    <w:rsid w:val="00CB2C49"/>
    <w:rsid w:val="00CB2D68"/>
    <w:rsid w:val="00CB72A1"/>
    <w:rsid w:val="00CC0130"/>
    <w:rsid w:val="00CC16B9"/>
    <w:rsid w:val="00CC261F"/>
    <w:rsid w:val="00CC4E10"/>
    <w:rsid w:val="00CC5980"/>
    <w:rsid w:val="00CC6016"/>
    <w:rsid w:val="00CC6777"/>
    <w:rsid w:val="00CC6912"/>
    <w:rsid w:val="00CC6BB6"/>
    <w:rsid w:val="00CC6BBE"/>
    <w:rsid w:val="00CC7829"/>
    <w:rsid w:val="00CD02F9"/>
    <w:rsid w:val="00CD611C"/>
    <w:rsid w:val="00CD6969"/>
    <w:rsid w:val="00CE3753"/>
    <w:rsid w:val="00CE3F41"/>
    <w:rsid w:val="00CE5C98"/>
    <w:rsid w:val="00CF0004"/>
    <w:rsid w:val="00CF2B4D"/>
    <w:rsid w:val="00CF2BEF"/>
    <w:rsid w:val="00CF4288"/>
    <w:rsid w:val="00CF6407"/>
    <w:rsid w:val="00CF6847"/>
    <w:rsid w:val="00CF7D9A"/>
    <w:rsid w:val="00D015C3"/>
    <w:rsid w:val="00D04063"/>
    <w:rsid w:val="00D04ECC"/>
    <w:rsid w:val="00D055D6"/>
    <w:rsid w:val="00D1152F"/>
    <w:rsid w:val="00D1159C"/>
    <w:rsid w:val="00D126B7"/>
    <w:rsid w:val="00D127B3"/>
    <w:rsid w:val="00D12B9D"/>
    <w:rsid w:val="00D149C7"/>
    <w:rsid w:val="00D172A1"/>
    <w:rsid w:val="00D17B76"/>
    <w:rsid w:val="00D214F7"/>
    <w:rsid w:val="00D21920"/>
    <w:rsid w:val="00D219B5"/>
    <w:rsid w:val="00D23ACD"/>
    <w:rsid w:val="00D26124"/>
    <w:rsid w:val="00D269D1"/>
    <w:rsid w:val="00D274AA"/>
    <w:rsid w:val="00D2766A"/>
    <w:rsid w:val="00D27BDB"/>
    <w:rsid w:val="00D30C55"/>
    <w:rsid w:val="00D312B6"/>
    <w:rsid w:val="00D32694"/>
    <w:rsid w:val="00D32B08"/>
    <w:rsid w:val="00D33C9A"/>
    <w:rsid w:val="00D33D88"/>
    <w:rsid w:val="00D35253"/>
    <w:rsid w:val="00D376FC"/>
    <w:rsid w:val="00D40845"/>
    <w:rsid w:val="00D40C5D"/>
    <w:rsid w:val="00D41ECD"/>
    <w:rsid w:val="00D42AD1"/>
    <w:rsid w:val="00D44A56"/>
    <w:rsid w:val="00D455E8"/>
    <w:rsid w:val="00D459DF"/>
    <w:rsid w:val="00D46AC2"/>
    <w:rsid w:val="00D47930"/>
    <w:rsid w:val="00D50AFC"/>
    <w:rsid w:val="00D51780"/>
    <w:rsid w:val="00D569EB"/>
    <w:rsid w:val="00D57F71"/>
    <w:rsid w:val="00D6235F"/>
    <w:rsid w:val="00D63CDD"/>
    <w:rsid w:val="00D63F14"/>
    <w:rsid w:val="00D64755"/>
    <w:rsid w:val="00D65D16"/>
    <w:rsid w:val="00D6735E"/>
    <w:rsid w:val="00D67416"/>
    <w:rsid w:val="00D67FB0"/>
    <w:rsid w:val="00D7023D"/>
    <w:rsid w:val="00D7085D"/>
    <w:rsid w:val="00D71373"/>
    <w:rsid w:val="00D7226A"/>
    <w:rsid w:val="00D7306E"/>
    <w:rsid w:val="00D73B19"/>
    <w:rsid w:val="00D7442E"/>
    <w:rsid w:val="00D744AE"/>
    <w:rsid w:val="00D75D7D"/>
    <w:rsid w:val="00D76360"/>
    <w:rsid w:val="00D8114D"/>
    <w:rsid w:val="00D8684F"/>
    <w:rsid w:val="00D87533"/>
    <w:rsid w:val="00D9007B"/>
    <w:rsid w:val="00D90505"/>
    <w:rsid w:val="00D90CB6"/>
    <w:rsid w:val="00D92F22"/>
    <w:rsid w:val="00D9306D"/>
    <w:rsid w:val="00D9358E"/>
    <w:rsid w:val="00D946F7"/>
    <w:rsid w:val="00D95B56"/>
    <w:rsid w:val="00D95CBE"/>
    <w:rsid w:val="00DA0FA2"/>
    <w:rsid w:val="00DA11CF"/>
    <w:rsid w:val="00DA16A0"/>
    <w:rsid w:val="00DA291E"/>
    <w:rsid w:val="00DA3067"/>
    <w:rsid w:val="00DA3E17"/>
    <w:rsid w:val="00DA6949"/>
    <w:rsid w:val="00DA72F9"/>
    <w:rsid w:val="00DB13A7"/>
    <w:rsid w:val="00DB1C32"/>
    <w:rsid w:val="00DB2AD6"/>
    <w:rsid w:val="00DB3902"/>
    <w:rsid w:val="00DB4752"/>
    <w:rsid w:val="00DB542D"/>
    <w:rsid w:val="00DB606B"/>
    <w:rsid w:val="00DC022D"/>
    <w:rsid w:val="00DC2376"/>
    <w:rsid w:val="00DC23A5"/>
    <w:rsid w:val="00DC26A3"/>
    <w:rsid w:val="00DC5019"/>
    <w:rsid w:val="00DC53C4"/>
    <w:rsid w:val="00DC5989"/>
    <w:rsid w:val="00DC6493"/>
    <w:rsid w:val="00DC6AE6"/>
    <w:rsid w:val="00DC76CA"/>
    <w:rsid w:val="00DC7E53"/>
    <w:rsid w:val="00DD1910"/>
    <w:rsid w:val="00DD40EB"/>
    <w:rsid w:val="00DD4F36"/>
    <w:rsid w:val="00DD7CBD"/>
    <w:rsid w:val="00DE2568"/>
    <w:rsid w:val="00DE2EA9"/>
    <w:rsid w:val="00DE3CBF"/>
    <w:rsid w:val="00DE42EA"/>
    <w:rsid w:val="00DE4ACB"/>
    <w:rsid w:val="00DE5157"/>
    <w:rsid w:val="00DE5B2B"/>
    <w:rsid w:val="00DE6099"/>
    <w:rsid w:val="00DE60F9"/>
    <w:rsid w:val="00DE7141"/>
    <w:rsid w:val="00DE72F6"/>
    <w:rsid w:val="00DF1DFE"/>
    <w:rsid w:val="00DF2136"/>
    <w:rsid w:val="00DF3707"/>
    <w:rsid w:val="00DF4138"/>
    <w:rsid w:val="00DF4F0B"/>
    <w:rsid w:val="00DF54E2"/>
    <w:rsid w:val="00DF67EB"/>
    <w:rsid w:val="00DF7AA6"/>
    <w:rsid w:val="00DFE399"/>
    <w:rsid w:val="00E00D93"/>
    <w:rsid w:val="00E02598"/>
    <w:rsid w:val="00E02608"/>
    <w:rsid w:val="00E02749"/>
    <w:rsid w:val="00E11672"/>
    <w:rsid w:val="00E1314C"/>
    <w:rsid w:val="00E1322D"/>
    <w:rsid w:val="00E16106"/>
    <w:rsid w:val="00E1638D"/>
    <w:rsid w:val="00E1644B"/>
    <w:rsid w:val="00E16EC4"/>
    <w:rsid w:val="00E16FDB"/>
    <w:rsid w:val="00E23C46"/>
    <w:rsid w:val="00E240F5"/>
    <w:rsid w:val="00E2449A"/>
    <w:rsid w:val="00E276F2"/>
    <w:rsid w:val="00E31B72"/>
    <w:rsid w:val="00E32245"/>
    <w:rsid w:val="00E3247B"/>
    <w:rsid w:val="00E32672"/>
    <w:rsid w:val="00E33404"/>
    <w:rsid w:val="00E37D62"/>
    <w:rsid w:val="00E4211E"/>
    <w:rsid w:val="00E425C1"/>
    <w:rsid w:val="00E42A69"/>
    <w:rsid w:val="00E44048"/>
    <w:rsid w:val="00E453AB"/>
    <w:rsid w:val="00E474CE"/>
    <w:rsid w:val="00E50887"/>
    <w:rsid w:val="00E515CC"/>
    <w:rsid w:val="00E518F8"/>
    <w:rsid w:val="00E5416C"/>
    <w:rsid w:val="00E54CD5"/>
    <w:rsid w:val="00E56CF8"/>
    <w:rsid w:val="00E5C199"/>
    <w:rsid w:val="00E61748"/>
    <w:rsid w:val="00E6175D"/>
    <w:rsid w:val="00E62157"/>
    <w:rsid w:val="00E6244E"/>
    <w:rsid w:val="00E63D9E"/>
    <w:rsid w:val="00E647E0"/>
    <w:rsid w:val="00E6564A"/>
    <w:rsid w:val="00E673A4"/>
    <w:rsid w:val="00E6768E"/>
    <w:rsid w:val="00E7094F"/>
    <w:rsid w:val="00E71792"/>
    <w:rsid w:val="00E73008"/>
    <w:rsid w:val="00E7432D"/>
    <w:rsid w:val="00E75E61"/>
    <w:rsid w:val="00E771E7"/>
    <w:rsid w:val="00E7791D"/>
    <w:rsid w:val="00E81308"/>
    <w:rsid w:val="00E814D0"/>
    <w:rsid w:val="00E81806"/>
    <w:rsid w:val="00E81B05"/>
    <w:rsid w:val="00E84707"/>
    <w:rsid w:val="00E861F4"/>
    <w:rsid w:val="00E864AA"/>
    <w:rsid w:val="00E86721"/>
    <w:rsid w:val="00E86F90"/>
    <w:rsid w:val="00E8794E"/>
    <w:rsid w:val="00E915A6"/>
    <w:rsid w:val="00E919F2"/>
    <w:rsid w:val="00E919F5"/>
    <w:rsid w:val="00E92E64"/>
    <w:rsid w:val="00E92EB8"/>
    <w:rsid w:val="00E9533B"/>
    <w:rsid w:val="00EA0317"/>
    <w:rsid w:val="00EA421C"/>
    <w:rsid w:val="00EA4574"/>
    <w:rsid w:val="00EA5D94"/>
    <w:rsid w:val="00EA605F"/>
    <w:rsid w:val="00EA6A7B"/>
    <w:rsid w:val="00EA70CE"/>
    <w:rsid w:val="00EA7D9D"/>
    <w:rsid w:val="00EB337C"/>
    <w:rsid w:val="00EB5F8A"/>
    <w:rsid w:val="00EB7BC3"/>
    <w:rsid w:val="00EC03BE"/>
    <w:rsid w:val="00EC0781"/>
    <w:rsid w:val="00EC10EA"/>
    <w:rsid w:val="00EC208B"/>
    <w:rsid w:val="00EC57D6"/>
    <w:rsid w:val="00EC6D6E"/>
    <w:rsid w:val="00EC7394"/>
    <w:rsid w:val="00ED1572"/>
    <w:rsid w:val="00ED158E"/>
    <w:rsid w:val="00ED4168"/>
    <w:rsid w:val="00ED49EF"/>
    <w:rsid w:val="00ED52DE"/>
    <w:rsid w:val="00ED5889"/>
    <w:rsid w:val="00ED5936"/>
    <w:rsid w:val="00EE1806"/>
    <w:rsid w:val="00EE2EA8"/>
    <w:rsid w:val="00EE34C1"/>
    <w:rsid w:val="00EE4080"/>
    <w:rsid w:val="00EE4AF3"/>
    <w:rsid w:val="00EE4CF6"/>
    <w:rsid w:val="00EE601C"/>
    <w:rsid w:val="00EE6669"/>
    <w:rsid w:val="00EE6D25"/>
    <w:rsid w:val="00EE6E3E"/>
    <w:rsid w:val="00EE711F"/>
    <w:rsid w:val="00EE7E6E"/>
    <w:rsid w:val="00EF1EC5"/>
    <w:rsid w:val="00EF299D"/>
    <w:rsid w:val="00EF315A"/>
    <w:rsid w:val="00EF3FD6"/>
    <w:rsid w:val="00EF45C5"/>
    <w:rsid w:val="00EF4F9B"/>
    <w:rsid w:val="00EF5D58"/>
    <w:rsid w:val="00EF5E3D"/>
    <w:rsid w:val="00EF7DE2"/>
    <w:rsid w:val="00F00A88"/>
    <w:rsid w:val="00F010D0"/>
    <w:rsid w:val="00F04564"/>
    <w:rsid w:val="00F05302"/>
    <w:rsid w:val="00F06812"/>
    <w:rsid w:val="00F071DA"/>
    <w:rsid w:val="00F10C08"/>
    <w:rsid w:val="00F11469"/>
    <w:rsid w:val="00F115B9"/>
    <w:rsid w:val="00F1290E"/>
    <w:rsid w:val="00F12BD0"/>
    <w:rsid w:val="00F14520"/>
    <w:rsid w:val="00F15812"/>
    <w:rsid w:val="00F159C1"/>
    <w:rsid w:val="00F160A6"/>
    <w:rsid w:val="00F202AA"/>
    <w:rsid w:val="00F212CA"/>
    <w:rsid w:val="00F21549"/>
    <w:rsid w:val="00F24029"/>
    <w:rsid w:val="00F24273"/>
    <w:rsid w:val="00F25982"/>
    <w:rsid w:val="00F259B5"/>
    <w:rsid w:val="00F268ED"/>
    <w:rsid w:val="00F304EF"/>
    <w:rsid w:val="00F30CA1"/>
    <w:rsid w:val="00F318E9"/>
    <w:rsid w:val="00F31CA1"/>
    <w:rsid w:val="00F32C57"/>
    <w:rsid w:val="00F3463D"/>
    <w:rsid w:val="00F35718"/>
    <w:rsid w:val="00F3686F"/>
    <w:rsid w:val="00F371E8"/>
    <w:rsid w:val="00F409C1"/>
    <w:rsid w:val="00F41187"/>
    <w:rsid w:val="00F41E1A"/>
    <w:rsid w:val="00F4227D"/>
    <w:rsid w:val="00F42E83"/>
    <w:rsid w:val="00F43D0E"/>
    <w:rsid w:val="00F43F6C"/>
    <w:rsid w:val="00F441D8"/>
    <w:rsid w:val="00F45242"/>
    <w:rsid w:val="00F45E68"/>
    <w:rsid w:val="00F47B15"/>
    <w:rsid w:val="00F5146F"/>
    <w:rsid w:val="00F54319"/>
    <w:rsid w:val="00F545EF"/>
    <w:rsid w:val="00F549BE"/>
    <w:rsid w:val="00F55E33"/>
    <w:rsid w:val="00F568B5"/>
    <w:rsid w:val="00F60147"/>
    <w:rsid w:val="00F62BE0"/>
    <w:rsid w:val="00F6429B"/>
    <w:rsid w:val="00F65156"/>
    <w:rsid w:val="00F66E1B"/>
    <w:rsid w:val="00F66FE5"/>
    <w:rsid w:val="00F6727B"/>
    <w:rsid w:val="00F70A74"/>
    <w:rsid w:val="00F7118E"/>
    <w:rsid w:val="00F7445D"/>
    <w:rsid w:val="00F74FCA"/>
    <w:rsid w:val="00F75751"/>
    <w:rsid w:val="00F759C1"/>
    <w:rsid w:val="00F769F3"/>
    <w:rsid w:val="00F8246C"/>
    <w:rsid w:val="00F82776"/>
    <w:rsid w:val="00F8294E"/>
    <w:rsid w:val="00F91FE1"/>
    <w:rsid w:val="00F930F6"/>
    <w:rsid w:val="00F93FC7"/>
    <w:rsid w:val="00F941A4"/>
    <w:rsid w:val="00F96008"/>
    <w:rsid w:val="00FA45E3"/>
    <w:rsid w:val="00FA4C4B"/>
    <w:rsid w:val="00FA5457"/>
    <w:rsid w:val="00FA7397"/>
    <w:rsid w:val="00FB0717"/>
    <w:rsid w:val="00FB0CF0"/>
    <w:rsid w:val="00FB24ED"/>
    <w:rsid w:val="00FB2DCD"/>
    <w:rsid w:val="00FB3741"/>
    <w:rsid w:val="00FB4948"/>
    <w:rsid w:val="00FB51EC"/>
    <w:rsid w:val="00FB5533"/>
    <w:rsid w:val="00FB6F03"/>
    <w:rsid w:val="00FC02F0"/>
    <w:rsid w:val="00FC0C18"/>
    <w:rsid w:val="00FC12D6"/>
    <w:rsid w:val="00FC28B9"/>
    <w:rsid w:val="00FC2954"/>
    <w:rsid w:val="00FC43B1"/>
    <w:rsid w:val="00FC4A3D"/>
    <w:rsid w:val="00FC4E13"/>
    <w:rsid w:val="00FC5811"/>
    <w:rsid w:val="00FC639A"/>
    <w:rsid w:val="00FC8900"/>
    <w:rsid w:val="00FD01CA"/>
    <w:rsid w:val="00FD1641"/>
    <w:rsid w:val="00FD2372"/>
    <w:rsid w:val="00FD3751"/>
    <w:rsid w:val="00FD3CA5"/>
    <w:rsid w:val="00FD4355"/>
    <w:rsid w:val="00FD449C"/>
    <w:rsid w:val="00FD51D8"/>
    <w:rsid w:val="00FD6B74"/>
    <w:rsid w:val="00FD7148"/>
    <w:rsid w:val="00FD7970"/>
    <w:rsid w:val="00FE12B1"/>
    <w:rsid w:val="00FE3431"/>
    <w:rsid w:val="00FE346B"/>
    <w:rsid w:val="00FE370F"/>
    <w:rsid w:val="00FE40AE"/>
    <w:rsid w:val="00FE625D"/>
    <w:rsid w:val="00FE7254"/>
    <w:rsid w:val="00FE7374"/>
    <w:rsid w:val="00FF084D"/>
    <w:rsid w:val="00FF187C"/>
    <w:rsid w:val="00FF4415"/>
    <w:rsid w:val="00FF4480"/>
    <w:rsid w:val="00FF5117"/>
    <w:rsid w:val="00FF5A69"/>
    <w:rsid w:val="00FF5CA2"/>
    <w:rsid w:val="00FF5CF4"/>
    <w:rsid w:val="010A1712"/>
    <w:rsid w:val="013F0281"/>
    <w:rsid w:val="014C47DC"/>
    <w:rsid w:val="01534D3C"/>
    <w:rsid w:val="0155C0AB"/>
    <w:rsid w:val="0156D918"/>
    <w:rsid w:val="016F8E17"/>
    <w:rsid w:val="0187B876"/>
    <w:rsid w:val="01AD4351"/>
    <w:rsid w:val="01FF87E3"/>
    <w:rsid w:val="021AE0E4"/>
    <w:rsid w:val="02484EF4"/>
    <w:rsid w:val="0267C237"/>
    <w:rsid w:val="0294DC57"/>
    <w:rsid w:val="02CB75C6"/>
    <w:rsid w:val="02D89DBB"/>
    <w:rsid w:val="02E4A39A"/>
    <w:rsid w:val="02F40175"/>
    <w:rsid w:val="03136EFE"/>
    <w:rsid w:val="032B462B"/>
    <w:rsid w:val="035D91B3"/>
    <w:rsid w:val="03773B5B"/>
    <w:rsid w:val="03839425"/>
    <w:rsid w:val="038707C3"/>
    <w:rsid w:val="0390FEDA"/>
    <w:rsid w:val="039F1891"/>
    <w:rsid w:val="03E5D857"/>
    <w:rsid w:val="04063D84"/>
    <w:rsid w:val="045E27B8"/>
    <w:rsid w:val="045F5CD5"/>
    <w:rsid w:val="048B5DC3"/>
    <w:rsid w:val="04A98DEC"/>
    <w:rsid w:val="04CFDCFF"/>
    <w:rsid w:val="04ED4A31"/>
    <w:rsid w:val="05039FF9"/>
    <w:rsid w:val="05175898"/>
    <w:rsid w:val="054345B7"/>
    <w:rsid w:val="055D49A6"/>
    <w:rsid w:val="05B7B659"/>
    <w:rsid w:val="060C66A4"/>
    <w:rsid w:val="062C78F3"/>
    <w:rsid w:val="066A72E6"/>
    <w:rsid w:val="066D181B"/>
    <w:rsid w:val="06749B17"/>
    <w:rsid w:val="06A10FF5"/>
    <w:rsid w:val="06A4B099"/>
    <w:rsid w:val="06B00268"/>
    <w:rsid w:val="06DE75B2"/>
    <w:rsid w:val="06EADBCB"/>
    <w:rsid w:val="070087C4"/>
    <w:rsid w:val="0717B433"/>
    <w:rsid w:val="07371BE1"/>
    <w:rsid w:val="075DBC71"/>
    <w:rsid w:val="0774E0FD"/>
    <w:rsid w:val="077FF758"/>
    <w:rsid w:val="07AF697F"/>
    <w:rsid w:val="07E214FA"/>
    <w:rsid w:val="07EF5A5B"/>
    <w:rsid w:val="07F24D55"/>
    <w:rsid w:val="0827B02D"/>
    <w:rsid w:val="08385C09"/>
    <w:rsid w:val="083B1613"/>
    <w:rsid w:val="083F5AF8"/>
    <w:rsid w:val="08E96C4B"/>
    <w:rsid w:val="09052265"/>
    <w:rsid w:val="092E264E"/>
    <w:rsid w:val="0932CDF8"/>
    <w:rsid w:val="09382ACD"/>
    <w:rsid w:val="09529BC2"/>
    <w:rsid w:val="09A99CBC"/>
    <w:rsid w:val="09C89326"/>
    <w:rsid w:val="09F8502C"/>
    <w:rsid w:val="09FA99BD"/>
    <w:rsid w:val="0A1B272E"/>
    <w:rsid w:val="0A25F2C9"/>
    <w:rsid w:val="0A33835E"/>
    <w:rsid w:val="0A7160DC"/>
    <w:rsid w:val="0A71ADFD"/>
    <w:rsid w:val="0ADEC551"/>
    <w:rsid w:val="0B0745BE"/>
    <w:rsid w:val="0B0DB8C8"/>
    <w:rsid w:val="0B1C001A"/>
    <w:rsid w:val="0B23654D"/>
    <w:rsid w:val="0B247AA4"/>
    <w:rsid w:val="0BEEF007"/>
    <w:rsid w:val="0BFCA499"/>
    <w:rsid w:val="0C026414"/>
    <w:rsid w:val="0C2FAB6C"/>
    <w:rsid w:val="0C85A39C"/>
    <w:rsid w:val="0C98FAAE"/>
    <w:rsid w:val="0CCFFB6C"/>
    <w:rsid w:val="0CE56DA0"/>
    <w:rsid w:val="0CEAD43F"/>
    <w:rsid w:val="0D069357"/>
    <w:rsid w:val="0D4653BD"/>
    <w:rsid w:val="0D5D938B"/>
    <w:rsid w:val="0D621F13"/>
    <w:rsid w:val="0D8411D6"/>
    <w:rsid w:val="0DC2FB31"/>
    <w:rsid w:val="0E0766A7"/>
    <w:rsid w:val="0E127BB6"/>
    <w:rsid w:val="0E5EE3F1"/>
    <w:rsid w:val="0E85F294"/>
    <w:rsid w:val="0E97D175"/>
    <w:rsid w:val="0F3D6701"/>
    <w:rsid w:val="0F5CEF5D"/>
    <w:rsid w:val="0F87AC93"/>
    <w:rsid w:val="0F8BDB65"/>
    <w:rsid w:val="0FAE4C17"/>
    <w:rsid w:val="0FBA32DC"/>
    <w:rsid w:val="0FEE671F"/>
    <w:rsid w:val="10069D39"/>
    <w:rsid w:val="1009F9BD"/>
    <w:rsid w:val="106A1E01"/>
    <w:rsid w:val="1077D634"/>
    <w:rsid w:val="1085C0B0"/>
    <w:rsid w:val="109FE9C9"/>
    <w:rsid w:val="11244F7D"/>
    <w:rsid w:val="11294288"/>
    <w:rsid w:val="1138D26F"/>
    <w:rsid w:val="1177040E"/>
    <w:rsid w:val="1188F740"/>
    <w:rsid w:val="119C1E97"/>
    <w:rsid w:val="11C55B31"/>
    <w:rsid w:val="11D0B3FD"/>
    <w:rsid w:val="11DEC3D1"/>
    <w:rsid w:val="12031E4D"/>
    <w:rsid w:val="12068DB8"/>
    <w:rsid w:val="1220B5A5"/>
    <w:rsid w:val="1253CAA3"/>
    <w:rsid w:val="129C1FBB"/>
    <w:rsid w:val="12B5F108"/>
    <w:rsid w:val="12B87BF1"/>
    <w:rsid w:val="12C2ED63"/>
    <w:rsid w:val="12EF1330"/>
    <w:rsid w:val="13562B4C"/>
    <w:rsid w:val="135D3E1F"/>
    <w:rsid w:val="139BD1AD"/>
    <w:rsid w:val="13D4C295"/>
    <w:rsid w:val="1437195C"/>
    <w:rsid w:val="147C4623"/>
    <w:rsid w:val="148330D9"/>
    <w:rsid w:val="14B3464E"/>
    <w:rsid w:val="14D19D0E"/>
    <w:rsid w:val="14D773A8"/>
    <w:rsid w:val="14DCC865"/>
    <w:rsid w:val="14E12023"/>
    <w:rsid w:val="1523FBDA"/>
    <w:rsid w:val="154148D6"/>
    <w:rsid w:val="15433FAE"/>
    <w:rsid w:val="15707493"/>
    <w:rsid w:val="157092F6"/>
    <w:rsid w:val="158AEEF7"/>
    <w:rsid w:val="161A47A2"/>
    <w:rsid w:val="1621FD9A"/>
    <w:rsid w:val="163704D3"/>
    <w:rsid w:val="163C67F7"/>
    <w:rsid w:val="1680D2E3"/>
    <w:rsid w:val="1689E2D6"/>
    <w:rsid w:val="16C0D2E8"/>
    <w:rsid w:val="16D1DC76"/>
    <w:rsid w:val="16D2FB6E"/>
    <w:rsid w:val="16D7EF1A"/>
    <w:rsid w:val="16DF475E"/>
    <w:rsid w:val="170475D1"/>
    <w:rsid w:val="1772F8F2"/>
    <w:rsid w:val="17F1868E"/>
    <w:rsid w:val="1801B721"/>
    <w:rsid w:val="182DE195"/>
    <w:rsid w:val="183F52CD"/>
    <w:rsid w:val="1840577D"/>
    <w:rsid w:val="186FEBB1"/>
    <w:rsid w:val="1874C171"/>
    <w:rsid w:val="187B35D7"/>
    <w:rsid w:val="18BA6975"/>
    <w:rsid w:val="18C88C1E"/>
    <w:rsid w:val="194CE22C"/>
    <w:rsid w:val="1990502E"/>
    <w:rsid w:val="19AEC20C"/>
    <w:rsid w:val="19B10D7E"/>
    <w:rsid w:val="19DC6CBD"/>
    <w:rsid w:val="19E28A54"/>
    <w:rsid w:val="19EB3A55"/>
    <w:rsid w:val="19EC8350"/>
    <w:rsid w:val="1A3719C3"/>
    <w:rsid w:val="1A6010B3"/>
    <w:rsid w:val="1AA31FB9"/>
    <w:rsid w:val="1AFCE583"/>
    <w:rsid w:val="1B13FDF3"/>
    <w:rsid w:val="1B347942"/>
    <w:rsid w:val="1B3BCBF9"/>
    <w:rsid w:val="1B474B06"/>
    <w:rsid w:val="1B5CE8F4"/>
    <w:rsid w:val="1B80D947"/>
    <w:rsid w:val="1B95EB0C"/>
    <w:rsid w:val="1BECC922"/>
    <w:rsid w:val="1C027A5F"/>
    <w:rsid w:val="1C0CE898"/>
    <w:rsid w:val="1C5F85C8"/>
    <w:rsid w:val="1C62CAF5"/>
    <w:rsid w:val="1C7C16A4"/>
    <w:rsid w:val="1C98B5E4"/>
    <w:rsid w:val="1CD85B70"/>
    <w:rsid w:val="1CDF642C"/>
    <w:rsid w:val="1CECA2FD"/>
    <w:rsid w:val="1D042FBD"/>
    <w:rsid w:val="1D25AB95"/>
    <w:rsid w:val="1D5EE967"/>
    <w:rsid w:val="1D7ED551"/>
    <w:rsid w:val="1DC88E04"/>
    <w:rsid w:val="1DDC9E2C"/>
    <w:rsid w:val="1E3FCD87"/>
    <w:rsid w:val="1E667940"/>
    <w:rsid w:val="1E66EB87"/>
    <w:rsid w:val="1E6F3664"/>
    <w:rsid w:val="1E734A88"/>
    <w:rsid w:val="1E8B1377"/>
    <w:rsid w:val="1E956574"/>
    <w:rsid w:val="1EE4F592"/>
    <w:rsid w:val="1EF40D25"/>
    <w:rsid w:val="1F07F432"/>
    <w:rsid w:val="1F518081"/>
    <w:rsid w:val="1F7749D5"/>
    <w:rsid w:val="1F7D86C2"/>
    <w:rsid w:val="1F8EE846"/>
    <w:rsid w:val="1FA238B2"/>
    <w:rsid w:val="1FB370FD"/>
    <w:rsid w:val="1FC1A707"/>
    <w:rsid w:val="1FC7F1F1"/>
    <w:rsid w:val="1FCABB86"/>
    <w:rsid w:val="1FD9755E"/>
    <w:rsid w:val="1FE35C39"/>
    <w:rsid w:val="1FE46053"/>
    <w:rsid w:val="1FE7ED41"/>
    <w:rsid w:val="20048A15"/>
    <w:rsid w:val="2006E5EA"/>
    <w:rsid w:val="2007DF95"/>
    <w:rsid w:val="203BF263"/>
    <w:rsid w:val="2061AEFE"/>
    <w:rsid w:val="206F34D3"/>
    <w:rsid w:val="20913F47"/>
    <w:rsid w:val="20A431A1"/>
    <w:rsid w:val="20B47C81"/>
    <w:rsid w:val="21142E22"/>
    <w:rsid w:val="219956C3"/>
    <w:rsid w:val="21BC287D"/>
    <w:rsid w:val="21CDDFF6"/>
    <w:rsid w:val="21D8B721"/>
    <w:rsid w:val="21DF2926"/>
    <w:rsid w:val="21E42742"/>
    <w:rsid w:val="21E98C6C"/>
    <w:rsid w:val="21F19F53"/>
    <w:rsid w:val="21FB0EE8"/>
    <w:rsid w:val="22091926"/>
    <w:rsid w:val="2209EFAC"/>
    <w:rsid w:val="22408498"/>
    <w:rsid w:val="2247227F"/>
    <w:rsid w:val="2259AEE5"/>
    <w:rsid w:val="2262D48A"/>
    <w:rsid w:val="226B1455"/>
    <w:rsid w:val="22B606D8"/>
    <w:rsid w:val="22BD1B87"/>
    <w:rsid w:val="22ED4014"/>
    <w:rsid w:val="22EEF0D1"/>
    <w:rsid w:val="2317EB02"/>
    <w:rsid w:val="234A8211"/>
    <w:rsid w:val="2352E5E6"/>
    <w:rsid w:val="23578B1D"/>
    <w:rsid w:val="23A8E15E"/>
    <w:rsid w:val="23D21697"/>
    <w:rsid w:val="23E46908"/>
    <w:rsid w:val="23FA23A1"/>
    <w:rsid w:val="240B2860"/>
    <w:rsid w:val="244A37A2"/>
    <w:rsid w:val="2458CF0B"/>
    <w:rsid w:val="246EF5F3"/>
    <w:rsid w:val="248C35D6"/>
    <w:rsid w:val="24A7B768"/>
    <w:rsid w:val="24B6CD00"/>
    <w:rsid w:val="24BEC2CE"/>
    <w:rsid w:val="24C50150"/>
    <w:rsid w:val="24FC4DEF"/>
    <w:rsid w:val="25003328"/>
    <w:rsid w:val="25061B9B"/>
    <w:rsid w:val="2507BF61"/>
    <w:rsid w:val="251BC804"/>
    <w:rsid w:val="258879BE"/>
    <w:rsid w:val="25DE27BD"/>
    <w:rsid w:val="25ECC846"/>
    <w:rsid w:val="262B6D5E"/>
    <w:rsid w:val="2657E6C3"/>
    <w:rsid w:val="2665753F"/>
    <w:rsid w:val="266E111F"/>
    <w:rsid w:val="2674ACAC"/>
    <w:rsid w:val="26808038"/>
    <w:rsid w:val="2685DD93"/>
    <w:rsid w:val="269637BF"/>
    <w:rsid w:val="269DBABC"/>
    <w:rsid w:val="26EA7E12"/>
    <w:rsid w:val="27095EC4"/>
    <w:rsid w:val="276494DB"/>
    <w:rsid w:val="277C72DF"/>
    <w:rsid w:val="27B64F1A"/>
    <w:rsid w:val="27E35611"/>
    <w:rsid w:val="27FF030F"/>
    <w:rsid w:val="281196A4"/>
    <w:rsid w:val="28291DE8"/>
    <w:rsid w:val="286AEA2F"/>
    <w:rsid w:val="2893F7BE"/>
    <w:rsid w:val="28A42CB0"/>
    <w:rsid w:val="28BE5782"/>
    <w:rsid w:val="28D69D7F"/>
    <w:rsid w:val="28ED9752"/>
    <w:rsid w:val="28F9CDB5"/>
    <w:rsid w:val="2948201C"/>
    <w:rsid w:val="29602183"/>
    <w:rsid w:val="297F2672"/>
    <w:rsid w:val="29B5985D"/>
    <w:rsid w:val="29BEBBCF"/>
    <w:rsid w:val="29EF416A"/>
    <w:rsid w:val="29F0324A"/>
    <w:rsid w:val="29F138CC"/>
    <w:rsid w:val="2A0EC4A7"/>
    <w:rsid w:val="2A7E6CA5"/>
    <w:rsid w:val="2B05F434"/>
    <w:rsid w:val="2B353A17"/>
    <w:rsid w:val="2B4B3962"/>
    <w:rsid w:val="2B64BA95"/>
    <w:rsid w:val="2BB6262B"/>
    <w:rsid w:val="2BD1F683"/>
    <w:rsid w:val="2BD8B84A"/>
    <w:rsid w:val="2BDE43F4"/>
    <w:rsid w:val="2BF3B001"/>
    <w:rsid w:val="2C045120"/>
    <w:rsid w:val="2C115D0B"/>
    <w:rsid w:val="2C217778"/>
    <w:rsid w:val="2C2290A4"/>
    <w:rsid w:val="2C89DFB1"/>
    <w:rsid w:val="2C914A77"/>
    <w:rsid w:val="2CB6C734"/>
    <w:rsid w:val="2CBA2D16"/>
    <w:rsid w:val="2CE1AD55"/>
    <w:rsid w:val="2D02A335"/>
    <w:rsid w:val="2D04EE00"/>
    <w:rsid w:val="2D0568C0"/>
    <w:rsid w:val="2D30F282"/>
    <w:rsid w:val="2D34D048"/>
    <w:rsid w:val="2D6C1016"/>
    <w:rsid w:val="2D6D5BF2"/>
    <w:rsid w:val="2D7F1CAA"/>
    <w:rsid w:val="2DBC5A70"/>
    <w:rsid w:val="2DD535B3"/>
    <w:rsid w:val="2E616227"/>
    <w:rsid w:val="2E78564B"/>
    <w:rsid w:val="2E8EB30C"/>
    <w:rsid w:val="2E99074E"/>
    <w:rsid w:val="2EDD5153"/>
    <w:rsid w:val="2EEB06CA"/>
    <w:rsid w:val="2F04C6CA"/>
    <w:rsid w:val="2F9FB7C9"/>
    <w:rsid w:val="2FC81E96"/>
    <w:rsid w:val="2FF2AD58"/>
    <w:rsid w:val="302CF70A"/>
    <w:rsid w:val="3060ADC7"/>
    <w:rsid w:val="306299F1"/>
    <w:rsid w:val="30633518"/>
    <w:rsid w:val="30C01C38"/>
    <w:rsid w:val="30DE0211"/>
    <w:rsid w:val="3100DC93"/>
    <w:rsid w:val="3112802A"/>
    <w:rsid w:val="311F730E"/>
    <w:rsid w:val="312594C6"/>
    <w:rsid w:val="313FD901"/>
    <w:rsid w:val="314FA3F6"/>
    <w:rsid w:val="316DABEB"/>
    <w:rsid w:val="31914F00"/>
    <w:rsid w:val="319CB499"/>
    <w:rsid w:val="31B7D258"/>
    <w:rsid w:val="32143A43"/>
    <w:rsid w:val="32393E2D"/>
    <w:rsid w:val="323F8139"/>
    <w:rsid w:val="3250F72D"/>
    <w:rsid w:val="3268AE5D"/>
    <w:rsid w:val="3271D611"/>
    <w:rsid w:val="3289472D"/>
    <w:rsid w:val="32F337B8"/>
    <w:rsid w:val="32F49B7D"/>
    <w:rsid w:val="32F4DAB8"/>
    <w:rsid w:val="32FCD95B"/>
    <w:rsid w:val="339EDD19"/>
    <w:rsid w:val="33A2079A"/>
    <w:rsid w:val="33F86762"/>
    <w:rsid w:val="34167D69"/>
    <w:rsid w:val="343B6269"/>
    <w:rsid w:val="3450A268"/>
    <w:rsid w:val="3451386C"/>
    <w:rsid w:val="345387B1"/>
    <w:rsid w:val="34A45F5C"/>
    <w:rsid w:val="34E87A6F"/>
    <w:rsid w:val="34E947B6"/>
    <w:rsid w:val="35310430"/>
    <w:rsid w:val="354CD485"/>
    <w:rsid w:val="357959B3"/>
    <w:rsid w:val="357D5926"/>
    <w:rsid w:val="359F15E0"/>
    <w:rsid w:val="35A44704"/>
    <w:rsid w:val="35CD2189"/>
    <w:rsid w:val="364E9B87"/>
    <w:rsid w:val="36AF4580"/>
    <w:rsid w:val="36E050FA"/>
    <w:rsid w:val="37223D43"/>
    <w:rsid w:val="373BB08A"/>
    <w:rsid w:val="37478435"/>
    <w:rsid w:val="376D2557"/>
    <w:rsid w:val="3798364B"/>
    <w:rsid w:val="37BF91CF"/>
    <w:rsid w:val="37DD4600"/>
    <w:rsid w:val="386BBFAC"/>
    <w:rsid w:val="38741897"/>
    <w:rsid w:val="38802682"/>
    <w:rsid w:val="38A78B36"/>
    <w:rsid w:val="38AE1826"/>
    <w:rsid w:val="390769B0"/>
    <w:rsid w:val="3922BE47"/>
    <w:rsid w:val="395D4F83"/>
    <w:rsid w:val="396D10E1"/>
    <w:rsid w:val="3991E653"/>
    <w:rsid w:val="39B3DCE0"/>
    <w:rsid w:val="39D0784F"/>
    <w:rsid w:val="39E48952"/>
    <w:rsid w:val="39ED89EA"/>
    <w:rsid w:val="3A59DDEF"/>
    <w:rsid w:val="3A6F69CE"/>
    <w:rsid w:val="3A6FE4D2"/>
    <w:rsid w:val="3A72225C"/>
    <w:rsid w:val="3A7EA770"/>
    <w:rsid w:val="3A95435E"/>
    <w:rsid w:val="3A9F5FF1"/>
    <w:rsid w:val="3AD6BBF6"/>
    <w:rsid w:val="3B173DBA"/>
    <w:rsid w:val="3B4DCA80"/>
    <w:rsid w:val="3B5BEC7D"/>
    <w:rsid w:val="3B8B872D"/>
    <w:rsid w:val="3B9290FC"/>
    <w:rsid w:val="3BB8CE85"/>
    <w:rsid w:val="3BCD80D0"/>
    <w:rsid w:val="3C21A205"/>
    <w:rsid w:val="3C28E2F5"/>
    <w:rsid w:val="3C4BEF09"/>
    <w:rsid w:val="3C722D94"/>
    <w:rsid w:val="3C727A97"/>
    <w:rsid w:val="3C9C5292"/>
    <w:rsid w:val="3D2A0ECC"/>
    <w:rsid w:val="3D330D57"/>
    <w:rsid w:val="3D353C09"/>
    <w:rsid w:val="3D6A1A40"/>
    <w:rsid w:val="3DA62E0D"/>
    <w:rsid w:val="3DAA0230"/>
    <w:rsid w:val="3DC81AA8"/>
    <w:rsid w:val="3DDCD60D"/>
    <w:rsid w:val="3E337AB0"/>
    <w:rsid w:val="3E496EE6"/>
    <w:rsid w:val="3E75886A"/>
    <w:rsid w:val="3E75F6D3"/>
    <w:rsid w:val="3EA18493"/>
    <w:rsid w:val="3EB0FD96"/>
    <w:rsid w:val="3ED747B2"/>
    <w:rsid w:val="3EF8B526"/>
    <w:rsid w:val="3F4A1A67"/>
    <w:rsid w:val="3F4E3089"/>
    <w:rsid w:val="3F4E4347"/>
    <w:rsid w:val="3F54B0D1"/>
    <w:rsid w:val="3F6D74A1"/>
    <w:rsid w:val="3FB693A3"/>
    <w:rsid w:val="407237D2"/>
    <w:rsid w:val="408A765B"/>
    <w:rsid w:val="40B50135"/>
    <w:rsid w:val="411F72FE"/>
    <w:rsid w:val="411F74E2"/>
    <w:rsid w:val="416749D5"/>
    <w:rsid w:val="41984BC5"/>
    <w:rsid w:val="41A76E1D"/>
    <w:rsid w:val="41AD4E1C"/>
    <w:rsid w:val="423FA203"/>
    <w:rsid w:val="424C5CE8"/>
    <w:rsid w:val="427A5F2E"/>
    <w:rsid w:val="42B1F9E4"/>
    <w:rsid w:val="42D401D8"/>
    <w:rsid w:val="42F9848C"/>
    <w:rsid w:val="42F98632"/>
    <w:rsid w:val="4302D0F7"/>
    <w:rsid w:val="4306EBD3"/>
    <w:rsid w:val="432117D1"/>
    <w:rsid w:val="43B2B0AC"/>
    <w:rsid w:val="43F934E1"/>
    <w:rsid w:val="4402E7CF"/>
    <w:rsid w:val="44068CC1"/>
    <w:rsid w:val="44108C03"/>
    <w:rsid w:val="4419D94E"/>
    <w:rsid w:val="4477F438"/>
    <w:rsid w:val="4482A7C8"/>
    <w:rsid w:val="449B65A2"/>
    <w:rsid w:val="44C3CA35"/>
    <w:rsid w:val="44F808E1"/>
    <w:rsid w:val="458BCC33"/>
    <w:rsid w:val="459632A8"/>
    <w:rsid w:val="45A5548C"/>
    <w:rsid w:val="45A73979"/>
    <w:rsid w:val="45ADE840"/>
    <w:rsid w:val="45DC61A7"/>
    <w:rsid w:val="4602EB46"/>
    <w:rsid w:val="4624DD4A"/>
    <w:rsid w:val="464520D7"/>
    <w:rsid w:val="464B7455"/>
    <w:rsid w:val="465008E1"/>
    <w:rsid w:val="465F3D5B"/>
    <w:rsid w:val="46DBBAC5"/>
    <w:rsid w:val="4810DF10"/>
    <w:rsid w:val="481F72C6"/>
    <w:rsid w:val="4850E1D8"/>
    <w:rsid w:val="4874910E"/>
    <w:rsid w:val="48FD4927"/>
    <w:rsid w:val="48FFDBC6"/>
    <w:rsid w:val="4943562D"/>
    <w:rsid w:val="495F9699"/>
    <w:rsid w:val="498D6FCE"/>
    <w:rsid w:val="49AC114F"/>
    <w:rsid w:val="49D2963F"/>
    <w:rsid w:val="49D4A14C"/>
    <w:rsid w:val="49DA5302"/>
    <w:rsid w:val="49F83CA4"/>
    <w:rsid w:val="4A828F19"/>
    <w:rsid w:val="4A82FD1E"/>
    <w:rsid w:val="4B00A758"/>
    <w:rsid w:val="4B132561"/>
    <w:rsid w:val="4B1E15ED"/>
    <w:rsid w:val="4B6BFBF7"/>
    <w:rsid w:val="4B7CDE3D"/>
    <w:rsid w:val="4BD15639"/>
    <w:rsid w:val="4BD44F24"/>
    <w:rsid w:val="4C01D79B"/>
    <w:rsid w:val="4C4DDA60"/>
    <w:rsid w:val="4C4EC24E"/>
    <w:rsid w:val="4C701E27"/>
    <w:rsid w:val="4C707316"/>
    <w:rsid w:val="4C7D2698"/>
    <w:rsid w:val="4CB316D8"/>
    <w:rsid w:val="4CC24C2D"/>
    <w:rsid w:val="4CCDCC5F"/>
    <w:rsid w:val="4CFCE835"/>
    <w:rsid w:val="4D07E473"/>
    <w:rsid w:val="4D515D58"/>
    <w:rsid w:val="4D51B11D"/>
    <w:rsid w:val="4D733544"/>
    <w:rsid w:val="4D7F1AD8"/>
    <w:rsid w:val="4D8CBA65"/>
    <w:rsid w:val="4D8FA349"/>
    <w:rsid w:val="4D93070E"/>
    <w:rsid w:val="4DB2CA66"/>
    <w:rsid w:val="4DBFDC50"/>
    <w:rsid w:val="4DF2EB3A"/>
    <w:rsid w:val="4E1C3637"/>
    <w:rsid w:val="4E220E72"/>
    <w:rsid w:val="4E2FD698"/>
    <w:rsid w:val="4E65A174"/>
    <w:rsid w:val="4E759FA6"/>
    <w:rsid w:val="4E87C8EC"/>
    <w:rsid w:val="4EA37C92"/>
    <w:rsid w:val="4EB6BA3F"/>
    <w:rsid w:val="4F3D45E4"/>
    <w:rsid w:val="4F67F969"/>
    <w:rsid w:val="4F8D95A5"/>
    <w:rsid w:val="4FF50659"/>
    <w:rsid w:val="4FFA63B5"/>
    <w:rsid w:val="50258A53"/>
    <w:rsid w:val="50355282"/>
    <w:rsid w:val="50670858"/>
    <w:rsid w:val="50BD4F67"/>
    <w:rsid w:val="50DA957A"/>
    <w:rsid w:val="50DD0B1C"/>
    <w:rsid w:val="50E461D8"/>
    <w:rsid w:val="511BAA35"/>
    <w:rsid w:val="51261952"/>
    <w:rsid w:val="512B9E57"/>
    <w:rsid w:val="513F19C9"/>
    <w:rsid w:val="516F2069"/>
    <w:rsid w:val="519669ED"/>
    <w:rsid w:val="51C15AB4"/>
    <w:rsid w:val="51CF79F3"/>
    <w:rsid w:val="526C0B5F"/>
    <w:rsid w:val="526DFFDE"/>
    <w:rsid w:val="527C756C"/>
    <w:rsid w:val="52829D30"/>
    <w:rsid w:val="52845D56"/>
    <w:rsid w:val="528F8512"/>
    <w:rsid w:val="530051A7"/>
    <w:rsid w:val="530BB93D"/>
    <w:rsid w:val="532060EE"/>
    <w:rsid w:val="535AE11B"/>
    <w:rsid w:val="5397C2C9"/>
    <w:rsid w:val="53A16844"/>
    <w:rsid w:val="53B0A139"/>
    <w:rsid w:val="53B4C15E"/>
    <w:rsid w:val="53BBF1BC"/>
    <w:rsid w:val="53CA7002"/>
    <w:rsid w:val="53D4300E"/>
    <w:rsid w:val="54085358"/>
    <w:rsid w:val="54208AB2"/>
    <w:rsid w:val="542A3116"/>
    <w:rsid w:val="542F597A"/>
    <w:rsid w:val="543516AF"/>
    <w:rsid w:val="544F233D"/>
    <w:rsid w:val="546E4940"/>
    <w:rsid w:val="54816540"/>
    <w:rsid w:val="548F583D"/>
    <w:rsid w:val="54945A72"/>
    <w:rsid w:val="54973C1B"/>
    <w:rsid w:val="54EB5FFB"/>
    <w:rsid w:val="5559C7A6"/>
    <w:rsid w:val="556262F6"/>
    <w:rsid w:val="5566B814"/>
    <w:rsid w:val="5617DE23"/>
    <w:rsid w:val="561C26F1"/>
    <w:rsid w:val="56237F24"/>
    <w:rsid w:val="56627A9D"/>
    <w:rsid w:val="566D5039"/>
    <w:rsid w:val="56892A44"/>
    <w:rsid w:val="569281DD"/>
    <w:rsid w:val="5697635E"/>
    <w:rsid w:val="56B7C79C"/>
    <w:rsid w:val="56C6C61A"/>
    <w:rsid w:val="56DB2402"/>
    <w:rsid w:val="5707479E"/>
    <w:rsid w:val="571BE96C"/>
    <w:rsid w:val="5737357B"/>
    <w:rsid w:val="5760AC71"/>
    <w:rsid w:val="57D02F9E"/>
    <w:rsid w:val="58023AC6"/>
    <w:rsid w:val="580E11CB"/>
    <w:rsid w:val="5823843A"/>
    <w:rsid w:val="5852157B"/>
    <w:rsid w:val="588FCE76"/>
    <w:rsid w:val="58A6997A"/>
    <w:rsid w:val="58C659EE"/>
    <w:rsid w:val="58F8525A"/>
    <w:rsid w:val="58FA158C"/>
    <w:rsid w:val="58FFFE46"/>
    <w:rsid w:val="591CAEE0"/>
    <w:rsid w:val="59261329"/>
    <w:rsid w:val="598CFBAE"/>
    <w:rsid w:val="599E55FE"/>
    <w:rsid w:val="59AAFA1E"/>
    <w:rsid w:val="59CA229F"/>
    <w:rsid w:val="59DA5C6E"/>
    <w:rsid w:val="5A1B7811"/>
    <w:rsid w:val="5A2E65E4"/>
    <w:rsid w:val="5A365AF8"/>
    <w:rsid w:val="5A58E251"/>
    <w:rsid w:val="5A6F1D34"/>
    <w:rsid w:val="5AC3467A"/>
    <w:rsid w:val="5B990848"/>
    <w:rsid w:val="5BAB544A"/>
    <w:rsid w:val="5BD450A5"/>
    <w:rsid w:val="5BE6AE94"/>
    <w:rsid w:val="5BEE6921"/>
    <w:rsid w:val="5BF01B30"/>
    <w:rsid w:val="5C29DE5A"/>
    <w:rsid w:val="5C34BC6B"/>
    <w:rsid w:val="5C5EBC5D"/>
    <w:rsid w:val="5C76D882"/>
    <w:rsid w:val="5C82FCDC"/>
    <w:rsid w:val="5C85133A"/>
    <w:rsid w:val="5C869906"/>
    <w:rsid w:val="5CBA9008"/>
    <w:rsid w:val="5CC22918"/>
    <w:rsid w:val="5CCF93CC"/>
    <w:rsid w:val="5CEB932E"/>
    <w:rsid w:val="5D01C361"/>
    <w:rsid w:val="5D407D35"/>
    <w:rsid w:val="5D46A008"/>
    <w:rsid w:val="5D49DFF9"/>
    <w:rsid w:val="5D82AE8F"/>
    <w:rsid w:val="5DA6DC20"/>
    <w:rsid w:val="5DAE35C5"/>
    <w:rsid w:val="5DE23DCD"/>
    <w:rsid w:val="5E007D80"/>
    <w:rsid w:val="5E33763E"/>
    <w:rsid w:val="5E39B8A9"/>
    <w:rsid w:val="5E827340"/>
    <w:rsid w:val="5E9668BB"/>
    <w:rsid w:val="5E9E120A"/>
    <w:rsid w:val="5EB98A4B"/>
    <w:rsid w:val="5EE02EB0"/>
    <w:rsid w:val="5EE25E35"/>
    <w:rsid w:val="5F28CCDF"/>
    <w:rsid w:val="5F2DF6F8"/>
    <w:rsid w:val="5F915C24"/>
    <w:rsid w:val="5FAAACCA"/>
    <w:rsid w:val="600C1C4A"/>
    <w:rsid w:val="60224628"/>
    <w:rsid w:val="60736C11"/>
    <w:rsid w:val="609FE266"/>
    <w:rsid w:val="60BC6091"/>
    <w:rsid w:val="60C09C3E"/>
    <w:rsid w:val="60E9ABDB"/>
    <w:rsid w:val="60F16231"/>
    <w:rsid w:val="611109A1"/>
    <w:rsid w:val="6144590C"/>
    <w:rsid w:val="615FAE81"/>
    <w:rsid w:val="61B0E548"/>
    <w:rsid w:val="61BDA258"/>
    <w:rsid w:val="6245D0F5"/>
    <w:rsid w:val="62470921"/>
    <w:rsid w:val="62610D38"/>
    <w:rsid w:val="626EC3FD"/>
    <w:rsid w:val="62773118"/>
    <w:rsid w:val="627DB8C3"/>
    <w:rsid w:val="62A65D5B"/>
    <w:rsid w:val="62A82C60"/>
    <w:rsid w:val="62C72026"/>
    <w:rsid w:val="62D92DA6"/>
    <w:rsid w:val="63011623"/>
    <w:rsid w:val="631A797F"/>
    <w:rsid w:val="632D3AC1"/>
    <w:rsid w:val="6333181C"/>
    <w:rsid w:val="636E840C"/>
    <w:rsid w:val="6378C258"/>
    <w:rsid w:val="63B26077"/>
    <w:rsid w:val="63BD803E"/>
    <w:rsid w:val="63C5C969"/>
    <w:rsid w:val="63D1D961"/>
    <w:rsid w:val="63D34C22"/>
    <w:rsid w:val="640445BA"/>
    <w:rsid w:val="64650BE5"/>
    <w:rsid w:val="6492DC44"/>
    <w:rsid w:val="64AB1877"/>
    <w:rsid w:val="64B283DB"/>
    <w:rsid w:val="64B686FD"/>
    <w:rsid w:val="64B6F41D"/>
    <w:rsid w:val="64C59AEE"/>
    <w:rsid w:val="64FFDB12"/>
    <w:rsid w:val="65009CC7"/>
    <w:rsid w:val="6507E394"/>
    <w:rsid w:val="651E5454"/>
    <w:rsid w:val="651FFC22"/>
    <w:rsid w:val="652C1365"/>
    <w:rsid w:val="65D3D8FD"/>
    <w:rsid w:val="6616704D"/>
    <w:rsid w:val="661A2ABE"/>
    <w:rsid w:val="663AA5C9"/>
    <w:rsid w:val="66591C77"/>
    <w:rsid w:val="667D02C0"/>
    <w:rsid w:val="66B821BB"/>
    <w:rsid w:val="66C16729"/>
    <w:rsid w:val="66E1CA47"/>
    <w:rsid w:val="671D19AE"/>
    <w:rsid w:val="6729E220"/>
    <w:rsid w:val="673C05E5"/>
    <w:rsid w:val="6750423F"/>
    <w:rsid w:val="677BF0D9"/>
    <w:rsid w:val="67EA23FD"/>
    <w:rsid w:val="6811F400"/>
    <w:rsid w:val="68383685"/>
    <w:rsid w:val="68679EEF"/>
    <w:rsid w:val="686C21D0"/>
    <w:rsid w:val="68915F31"/>
    <w:rsid w:val="689237A2"/>
    <w:rsid w:val="68EE4F8D"/>
    <w:rsid w:val="690589F6"/>
    <w:rsid w:val="6924464E"/>
    <w:rsid w:val="696E0F1E"/>
    <w:rsid w:val="69852224"/>
    <w:rsid w:val="698C5782"/>
    <w:rsid w:val="69C0EB16"/>
    <w:rsid w:val="69C76206"/>
    <w:rsid w:val="69F907EB"/>
    <w:rsid w:val="6A08D3B1"/>
    <w:rsid w:val="6A245E53"/>
    <w:rsid w:val="6A2ACB42"/>
    <w:rsid w:val="6A2BD460"/>
    <w:rsid w:val="6A3BC80E"/>
    <w:rsid w:val="6A691AA0"/>
    <w:rsid w:val="6A6A88CE"/>
    <w:rsid w:val="6AB3919B"/>
    <w:rsid w:val="6AB4B72C"/>
    <w:rsid w:val="6AEB3640"/>
    <w:rsid w:val="6B2EC127"/>
    <w:rsid w:val="6B41F19E"/>
    <w:rsid w:val="6B9C1526"/>
    <w:rsid w:val="6BEDE424"/>
    <w:rsid w:val="6C0CC7F2"/>
    <w:rsid w:val="6C3A1B00"/>
    <w:rsid w:val="6C5C0FA7"/>
    <w:rsid w:val="6C7CD9D7"/>
    <w:rsid w:val="6C8B621E"/>
    <w:rsid w:val="6CAEF5E5"/>
    <w:rsid w:val="6CBBFE30"/>
    <w:rsid w:val="6CEEC9DD"/>
    <w:rsid w:val="6CF5026E"/>
    <w:rsid w:val="6D05E979"/>
    <w:rsid w:val="6D2B7623"/>
    <w:rsid w:val="6D33EB4D"/>
    <w:rsid w:val="6D36FC35"/>
    <w:rsid w:val="6D4185C5"/>
    <w:rsid w:val="6D47BD0E"/>
    <w:rsid w:val="6D4E570D"/>
    <w:rsid w:val="6D584970"/>
    <w:rsid w:val="6D7712DD"/>
    <w:rsid w:val="6D935648"/>
    <w:rsid w:val="6D95BF9B"/>
    <w:rsid w:val="6DB8647B"/>
    <w:rsid w:val="6DF45F13"/>
    <w:rsid w:val="6DF9BD03"/>
    <w:rsid w:val="6DFC1705"/>
    <w:rsid w:val="6E184A30"/>
    <w:rsid w:val="6E4DA9A1"/>
    <w:rsid w:val="6E5354D7"/>
    <w:rsid w:val="6E59E941"/>
    <w:rsid w:val="6E6BAAF4"/>
    <w:rsid w:val="6E81EC06"/>
    <w:rsid w:val="6EC319AE"/>
    <w:rsid w:val="6ED7D4B7"/>
    <w:rsid w:val="6EE0D61F"/>
    <w:rsid w:val="6EEA276E"/>
    <w:rsid w:val="6F0D15DE"/>
    <w:rsid w:val="6F126568"/>
    <w:rsid w:val="6F184ABC"/>
    <w:rsid w:val="6F21FB6B"/>
    <w:rsid w:val="6F51BE89"/>
    <w:rsid w:val="6F905AB6"/>
    <w:rsid w:val="6FD347D6"/>
    <w:rsid w:val="6FD407B1"/>
    <w:rsid w:val="6FD68518"/>
    <w:rsid w:val="701DD555"/>
    <w:rsid w:val="7075D847"/>
    <w:rsid w:val="70BAE7F8"/>
    <w:rsid w:val="710F83E9"/>
    <w:rsid w:val="7118C660"/>
    <w:rsid w:val="712D06C0"/>
    <w:rsid w:val="7136474C"/>
    <w:rsid w:val="713B891D"/>
    <w:rsid w:val="714A7AE9"/>
    <w:rsid w:val="7158A2AD"/>
    <w:rsid w:val="718F925E"/>
    <w:rsid w:val="71980AC5"/>
    <w:rsid w:val="71C94CB6"/>
    <w:rsid w:val="71EA2C57"/>
    <w:rsid w:val="72169C6C"/>
    <w:rsid w:val="72868101"/>
    <w:rsid w:val="728C415B"/>
    <w:rsid w:val="72C0FFCF"/>
    <w:rsid w:val="72CD1C25"/>
    <w:rsid w:val="7315FE28"/>
    <w:rsid w:val="731D860C"/>
    <w:rsid w:val="73231FDD"/>
    <w:rsid w:val="7331EABD"/>
    <w:rsid w:val="73322EF1"/>
    <w:rsid w:val="733ED6C5"/>
    <w:rsid w:val="73F5EA3A"/>
    <w:rsid w:val="745E2EA0"/>
    <w:rsid w:val="746275F1"/>
    <w:rsid w:val="74C197DE"/>
    <w:rsid w:val="75059089"/>
    <w:rsid w:val="7573E9C2"/>
    <w:rsid w:val="75B3AA38"/>
    <w:rsid w:val="75BBF58C"/>
    <w:rsid w:val="7616EE75"/>
    <w:rsid w:val="761E2A02"/>
    <w:rsid w:val="7667938B"/>
    <w:rsid w:val="7667E106"/>
    <w:rsid w:val="766EA606"/>
    <w:rsid w:val="767187EE"/>
    <w:rsid w:val="768F30E6"/>
    <w:rsid w:val="76A860DA"/>
    <w:rsid w:val="76B7EE4E"/>
    <w:rsid w:val="771FB4C0"/>
    <w:rsid w:val="7770123F"/>
    <w:rsid w:val="77ABE862"/>
    <w:rsid w:val="78138B9B"/>
    <w:rsid w:val="781FFA89"/>
    <w:rsid w:val="783D6288"/>
    <w:rsid w:val="784607E0"/>
    <w:rsid w:val="7850ABA8"/>
    <w:rsid w:val="78672CAA"/>
    <w:rsid w:val="786D1FB6"/>
    <w:rsid w:val="787CFABA"/>
    <w:rsid w:val="78A782FB"/>
    <w:rsid w:val="78B29DD6"/>
    <w:rsid w:val="78BA9E44"/>
    <w:rsid w:val="78EE6920"/>
    <w:rsid w:val="790986F5"/>
    <w:rsid w:val="790BE3C8"/>
    <w:rsid w:val="7911D92A"/>
    <w:rsid w:val="791B3F27"/>
    <w:rsid w:val="79487A12"/>
    <w:rsid w:val="797F2B51"/>
    <w:rsid w:val="798DDDD0"/>
    <w:rsid w:val="79E80E29"/>
    <w:rsid w:val="79F13FD0"/>
    <w:rsid w:val="7A18269A"/>
    <w:rsid w:val="7A19BE48"/>
    <w:rsid w:val="7A5C547B"/>
    <w:rsid w:val="7AD1D25B"/>
    <w:rsid w:val="7ADF8642"/>
    <w:rsid w:val="7AE92693"/>
    <w:rsid w:val="7B5FBE0F"/>
    <w:rsid w:val="7BBC4AD8"/>
    <w:rsid w:val="7BC71698"/>
    <w:rsid w:val="7BCA849C"/>
    <w:rsid w:val="7BCD6AAA"/>
    <w:rsid w:val="7BD7C4E2"/>
    <w:rsid w:val="7BE0C2E7"/>
    <w:rsid w:val="7C209A51"/>
    <w:rsid w:val="7C6CD52A"/>
    <w:rsid w:val="7C9487F9"/>
    <w:rsid w:val="7CA5837B"/>
    <w:rsid w:val="7CAB2EED"/>
    <w:rsid w:val="7CDE510E"/>
    <w:rsid w:val="7D0CF074"/>
    <w:rsid w:val="7D476FC0"/>
    <w:rsid w:val="7D562726"/>
    <w:rsid w:val="7D790037"/>
    <w:rsid w:val="7D8499F5"/>
    <w:rsid w:val="7D8516DA"/>
    <w:rsid w:val="7DA0C8D2"/>
    <w:rsid w:val="7DB26507"/>
    <w:rsid w:val="7DB91248"/>
    <w:rsid w:val="7DC6A9A3"/>
    <w:rsid w:val="7DE3D299"/>
    <w:rsid w:val="7DFE308B"/>
    <w:rsid w:val="7E109880"/>
    <w:rsid w:val="7E4A616D"/>
    <w:rsid w:val="7E6C4B4A"/>
    <w:rsid w:val="7E89E204"/>
    <w:rsid w:val="7EC25AFF"/>
    <w:rsid w:val="7ED11966"/>
    <w:rsid w:val="7EFE6D30"/>
    <w:rsid w:val="7F11A989"/>
    <w:rsid w:val="7F6F825B"/>
    <w:rsid w:val="7F77A668"/>
    <w:rsid w:val="7F8C2E8D"/>
    <w:rsid w:val="7F9D662F"/>
    <w:rsid w:val="7FD2A06D"/>
    <w:rsid w:val="7FE737F1"/>
    <w:rsid w:val="7FF1C91E"/>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3E7708"/>
  <w15:chartTrackingRefBased/>
  <w15:docId w15:val="{E52782E0-13AE-4D4A-AB79-2E1350B1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esedilo"/>
    <w:qFormat/>
    <w:rsid w:val="00363E63"/>
    <w:pPr>
      <w:spacing w:after="0" w:line="250" w:lineRule="atLeast"/>
      <w:jc w:val="both"/>
    </w:pPr>
    <w:rPr>
      <w:rFonts w:ascii="Myriad Pro" w:hAnsi="Myriad Pr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97B"/>
    <w:pPr>
      <w:tabs>
        <w:tab w:val="center" w:pos="4536"/>
        <w:tab w:val="right" w:pos="9072"/>
      </w:tabs>
      <w:spacing w:line="240" w:lineRule="auto"/>
    </w:pPr>
  </w:style>
  <w:style w:type="character" w:customStyle="1" w:styleId="HeaderChar">
    <w:name w:val="Header Char"/>
    <w:basedOn w:val="DefaultParagraphFont"/>
    <w:link w:val="Header"/>
    <w:uiPriority w:val="99"/>
    <w:rsid w:val="0063497B"/>
  </w:style>
  <w:style w:type="paragraph" w:styleId="Footer">
    <w:name w:val="footer"/>
    <w:basedOn w:val="Normal"/>
    <w:link w:val="FooterChar"/>
    <w:uiPriority w:val="99"/>
    <w:unhideWhenUsed/>
    <w:rsid w:val="0063497B"/>
    <w:pPr>
      <w:tabs>
        <w:tab w:val="center" w:pos="4536"/>
        <w:tab w:val="right" w:pos="9072"/>
      </w:tabs>
      <w:spacing w:line="240" w:lineRule="auto"/>
    </w:pPr>
  </w:style>
  <w:style w:type="character" w:customStyle="1" w:styleId="FooterChar">
    <w:name w:val="Footer Char"/>
    <w:basedOn w:val="DefaultParagraphFont"/>
    <w:link w:val="Footer"/>
    <w:uiPriority w:val="99"/>
    <w:rsid w:val="0063497B"/>
  </w:style>
  <w:style w:type="paragraph" w:styleId="NoSpacing">
    <w:name w:val="No Spacing"/>
    <w:uiPriority w:val="1"/>
    <w:qFormat/>
    <w:rsid w:val="00887D7E"/>
    <w:pPr>
      <w:spacing w:after="0" w:line="240" w:lineRule="auto"/>
    </w:pPr>
    <w:rPr>
      <w:rFonts w:ascii="Myriad Pro" w:hAnsi="Myriad Pro"/>
    </w:rPr>
  </w:style>
  <w:style w:type="paragraph" w:customStyle="1" w:styleId="Naslov11">
    <w:name w:val="Naslov 11"/>
    <w:basedOn w:val="Normal"/>
    <w:link w:val="Naslov1Char"/>
    <w:qFormat/>
    <w:rsid w:val="00812D81"/>
    <w:pPr>
      <w:spacing w:line="360" w:lineRule="exact"/>
    </w:pPr>
    <w:rPr>
      <w:b/>
      <w:sz w:val="32"/>
      <w:szCs w:val="36"/>
    </w:rPr>
  </w:style>
  <w:style w:type="paragraph" w:customStyle="1" w:styleId="Naslov21">
    <w:name w:val="Naslov 21"/>
    <w:basedOn w:val="Normal"/>
    <w:link w:val="Naslov2Char"/>
    <w:qFormat/>
    <w:rsid w:val="00812D81"/>
    <w:pPr>
      <w:spacing w:line="360" w:lineRule="exact"/>
    </w:pPr>
    <w:rPr>
      <w:sz w:val="32"/>
      <w:szCs w:val="36"/>
    </w:rPr>
  </w:style>
  <w:style w:type="character" w:customStyle="1" w:styleId="Naslov1Char">
    <w:name w:val="Naslov 1 Char"/>
    <w:basedOn w:val="DefaultParagraphFont"/>
    <w:link w:val="Naslov11"/>
    <w:rsid w:val="00812D81"/>
    <w:rPr>
      <w:rFonts w:ascii="Myriad Pro" w:hAnsi="Myriad Pro"/>
      <w:b/>
      <w:sz w:val="32"/>
      <w:szCs w:val="36"/>
    </w:rPr>
  </w:style>
  <w:style w:type="paragraph" w:customStyle="1" w:styleId="Naslov31">
    <w:name w:val="Naslov 31"/>
    <w:basedOn w:val="Normal"/>
    <w:link w:val="Naslov3Char"/>
    <w:qFormat/>
    <w:rsid w:val="00671853"/>
    <w:rPr>
      <w:b/>
    </w:rPr>
  </w:style>
  <w:style w:type="character" w:customStyle="1" w:styleId="Naslov2Char">
    <w:name w:val="Naslov 2 Char"/>
    <w:basedOn w:val="DefaultParagraphFont"/>
    <w:link w:val="Naslov21"/>
    <w:rsid w:val="00812D81"/>
    <w:rPr>
      <w:rFonts w:ascii="Myriad Pro" w:hAnsi="Myriad Pro"/>
      <w:sz w:val="32"/>
      <w:szCs w:val="36"/>
    </w:rPr>
  </w:style>
  <w:style w:type="paragraph" w:customStyle="1" w:styleId="Dodatneinformacije">
    <w:name w:val="Dodatne informacije"/>
    <w:basedOn w:val="Normal"/>
    <w:link w:val="DodatneinformacijeChar"/>
    <w:qFormat/>
    <w:rsid w:val="00F41E1A"/>
  </w:style>
  <w:style w:type="character" w:customStyle="1" w:styleId="Naslov3Char">
    <w:name w:val="Naslov 3 Char"/>
    <w:basedOn w:val="DefaultParagraphFont"/>
    <w:link w:val="Naslov31"/>
    <w:rsid w:val="00671853"/>
    <w:rPr>
      <w:rFonts w:ascii="Myriad Pro" w:hAnsi="Myriad Pro"/>
      <w:b/>
      <w:sz w:val="21"/>
    </w:rPr>
  </w:style>
  <w:style w:type="paragraph" w:styleId="BalloonText">
    <w:name w:val="Balloon Text"/>
    <w:basedOn w:val="Normal"/>
    <w:link w:val="BalloonTextChar"/>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DefaultParagraphFont"/>
    <w:link w:val="Dodatneinformacije"/>
    <w:rsid w:val="00F41E1A"/>
    <w:rPr>
      <w:rFonts w:ascii="Myriad Pro" w:hAnsi="Myriad Pro"/>
      <w:sz w:val="21"/>
    </w:rPr>
  </w:style>
  <w:style w:type="character" w:customStyle="1" w:styleId="BalloonTextChar">
    <w:name w:val="Balloon Text Char"/>
    <w:basedOn w:val="DefaultParagraphFont"/>
    <w:link w:val="BalloonText"/>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leGrid">
    <w:name w:val="Table Grid"/>
    <w:basedOn w:val="TableNormal"/>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F4F0B"/>
    <w:pPr>
      <w:ind w:left="720"/>
      <w:contextualSpacing/>
    </w:pPr>
  </w:style>
  <w:style w:type="paragraph" w:customStyle="1" w:styleId="Besedilomanjealineje">
    <w:name w:val="Besedilo manjše_alineje"/>
    <w:basedOn w:val="ListParagraph"/>
    <w:link w:val="BesedilomanjealinejeChar"/>
    <w:rsid w:val="00F545EF"/>
    <w:pPr>
      <w:numPr>
        <w:numId w:val="1"/>
      </w:numPr>
      <w:spacing w:line="220" w:lineRule="exact"/>
      <w:ind w:left="170" w:hanging="170"/>
      <w:jc w:val="left"/>
    </w:pPr>
    <w:rPr>
      <w:sz w:val="16"/>
      <w:szCs w:val="16"/>
    </w:rPr>
  </w:style>
  <w:style w:type="character" w:customStyle="1" w:styleId="ListParagraphChar">
    <w:name w:val="List Paragraph Char"/>
    <w:basedOn w:val="DefaultParagraphFont"/>
    <w:link w:val="ListParagraph"/>
    <w:uiPriority w:val="34"/>
    <w:rsid w:val="00133E20"/>
    <w:rPr>
      <w:rFonts w:ascii="Myriad Pro" w:hAnsi="Myriad Pro"/>
      <w:sz w:val="21"/>
    </w:rPr>
  </w:style>
  <w:style w:type="character" w:customStyle="1" w:styleId="BesedilomanjealinejeChar">
    <w:name w:val="Besedilo manjše_alineje Char"/>
    <w:basedOn w:val="ListParagraphChar"/>
    <w:link w:val="Besedilomanjealineje"/>
    <w:rsid w:val="00F545EF"/>
    <w:rPr>
      <w:rFonts w:ascii="Myriad Pro" w:hAnsi="Myriad Pro"/>
      <w:sz w:val="16"/>
      <w:szCs w:val="16"/>
    </w:rPr>
  </w:style>
  <w:style w:type="character" w:styleId="Hyperlink">
    <w:name w:val="Hyperlink"/>
    <w:basedOn w:val="DefaultParagraphFont"/>
    <w:uiPriority w:val="99"/>
    <w:unhideWhenUsed/>
    <w:rsid w:val="00363E63"/>
    <w:rPr>
      <w:color w:val="0563C1" w:themeColor="hyperlink"/>
      <w:u w:val="single"/>
    </w:rPr>
  </w:style>
  <w:style w:type="paragraph" w:styleId="FootnoteText">
    <w:name w:val="footnote text"/>
    <w:aliases w:val="Sprotna opomba_EO, Char Char,Char Char,Sprotna opomba-besedilo,Char Char Char Char,Sprotna opomba - besedilo Znak1,Sprotna opomba - besedilo Znak Znak2,Sprotna opomba - besedilo Znak1 Znak Znak1,fn,Char Ch,o"/>
    <w:basedOn w:val="Normal"/>
    <w:link w:val="FootnoteTextChar"/>
    <w:uiPriority w:val="99"/>
    <w:unhideWhenUsed/>
    <w:qFormat/>
    <w:rsid w:val="00FE7254"/>
    <w:pPr>
      <w:spacing w:line="240" w:lineRule="auto"/>
    </w:pPr>
    <w:rPr>
      <w:sz w:val="16"/>
      <w:szCs w:val="20"/>
    </w:rPr>
  </w:style>
  <w:style w:type="character" w:customStyle="1" w:styleId="FootnoteTextChar">
    <w:name w:val="Footnote Text Char"/>
    <w:aliases w:val="Sprotna opomba_EO Char, Char Char Char,Char Char Char,Sprotna opomba-besedilo Char,Char Char Char Char Char,Sprotna opomba - besedilo Znak1 Char,Sprotna opomba - besedilo Znak Znak2 Char,Sprotna opomba - besedilo Znak1 Znak Znak1 Char"/>
    <w:basedOn w:val="DefaultParagraphFont"/>
    <w:link w:val="FootnoteText"/>
    <w:uiPriority w:val="99"/>
    <w:rsid w:val="00FE7254"/>
    <w:rPr>
      <w:rFonts w:ascii="Myriad Pro" w:hAnsi="Myriad Pro"/>
      <w:sz w:val="16"/>
      <w:szCs w:val="20"/>
    </w:rPr>
  </w:style>
  <w:style w:type="character" w:styleId="FootnoteReference">
    <w:name w:val="footnote reference"/>
    <w:aliases w:val="footnote_EO,Footnote symbol,Fussnota,Footnote,Footnote reference number,note TESI,SUPERS,EN Footnote Reference,-E Fußnotenzeichen,Times 10 Point,Exposant 3 Point,E...,nota de rodapé,Footnote Reference_LVL6,Footnote Reference_LVL61"/>
    <w:basedOn w:val="DefaultParagraphFont"/>
    <w:uiPriority w:val="99"/>
    <w:unhideWhenUsed/>
    <w:qFormat/>
    <w:rsid w:val="00FE7254"/>
    <w:rPr>
      <w:vertAlign w:val="superscript"/>
    </w:rPr>
  </w:style>
  <w:style w:type="character" w:customStyle="1" w:styleId="Nerazreenaomemba1">
    <w:name w:val="Nerazrešena omemba1"/>
    <w:basedOn w:val="DefaultParagraphFont"/>
    <w:uiPriority w:val="99"/>
    <w:semiHidden/>
    <w:unhideWhenUsed/>
    <w:rsid w:val="003A49D8"/>
    <w:rPr>
      <w:color w:val="605E5C"/>
      <w:shd w:val="clear" w:color="auto" w:fill="E1DFDD"/>
    </w:rPr>
  </w:style>
  <w:style w:type="paragraph" w:customStyle="1" w:styleId="Naslov310">
    <w:name w:val="Naslov 310"/>
    <w:basedOn w:val="Normal"/>
    <w:qFormat/>
    <w:rsid w:val="00120162"/>
    <w:rPr>
      <w:b/>
    </w:rPr>
  </w:style>
  <w:style w:type="character" w:styleId="CommentReference">
    <w:name w:val="annotation reference"/>
    <w:basedOn w:val="DefaultParagraphFont"/>
    <w:uiPriority w:val="99"/>
    <w:semiHidden/>
    <w:unhideWhenUsed/>
    <w:rsid w:val="002B67C9"/>
    <w:rPr>
      <w:sz w:val="16"/>
      <w:szCs w:val="16"/>
    </w:rPr>
  </w:style>
  <w:style w:type="paragraph" w:styleId="CommentText">
    <w:name w:val="annotation text"/>
    <w:basedOn w:val="Normal"/>
    <w:link w:val="CommentTextChar"/>
    <w:uiPriority w:val="99"/>
    <w:unhideWhenUsed/>
    <w:rsid w:val="002B67C9"/>
    <w:pPr>
      <w:spacing w:line="240" w:lineRule="auto"/>
    </w:pPr>
    <w:rPr>
      <w:szCs w:val="20"/>
    </w:rPr>
  </w:style>
  <w:style w:type="character" w:customStyle="1" w:styleId="CommentTextChar">
    <w:name w:val="Comment Text Char"/>
    <w:basedOn w:val="DefaultParagraphFont"/>
    <w:link w:val="CommentText"/>
    <w:uiPriority w:val="99"/>
    <w:rsid w:val="002B67C9"/>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2B67C9"/>
    <w:rPr>
      <w:b/>
      <w:bCs/>
    </w:rPr>
  </w:style>
  <w:style w:type="character" w:customStyle="1" w:styleId="CommentSubjectChar">
    <w:name w:val="Comment Subject Char"/>
    <w:basedOn w:val="CommentTextChar"/>
    <w:link w:val="CommentSubject"/>
    <w:uiPriority w:val="99"/>
    <w:semiHidden/>
    <w:rsid w:val="002B67C9"/>
    <w:rPr>
      <w:rFonts w:ascii="Myriad Pro" w:hAnsi="Myriad Pro"/>
      <w:b/>
      <w:bCs/>
      <w:sz w:val="20"/>
      <w:szCs w:val="20"/>
    </w:rPr>
  </w:style>
  <w:style w:type="paragraph" w:styleId="Revision">
    <w:name w:val="Revision"/>
    <w:hidden/>
    <w:uiPriority w:val="99"/>
    <w:semiHidden/>
    <w:rsid w:val="003D0FA7"/>
    <w:pPr>
      <w:spacing w:after="0" w:line="240" w:lineRule="auto"/>
    </w:pPr>
    <w:rPr>
      <w:rFonts w:ascii="Myriad Pro" w:hAnsi="Myriad Pro"/>
      <w:sz w:val="20"/>
    </w:rPr>
  </w:style>
  <w:style w:type="character" w:styleId="EndnoteReference">
    <w:name w:val="endnote reference"/>
    <w:basedOn w:val="DefaultParagraphFont"/>
    <w:uiPriority w:val="99"/>
    <w:semiHidden/>
    <w:unhideWhenUsed/>
    <w:rsid w:val="000C5DFC"/>
    <w:rPr>
      <w:vertAlign w:val="superscript"/>
    </w:rPr>
  </w:style>
  <w:style w:type="paragraph" w:customStyle="1" w:styleId="Naslov32">
    <w:name w:val="Naslov 32"/>
    <w:basedOn w:val="Normal"/>
    <w:qFormat/>
    <w:rsid w:val="0078321F"/>
    <w:rPr>
      <w:b/>
    </w:rPr>
  </w:style>
  <w:style w:type="character" w:customStyle="1" w:styleId="normaltextrun">
    <w:name w:val="normaltextrun"/>
    <w:basedOn w:val="DefaultParagraphFont"/>
    <w:rsid w:val="00725CF3"/>
  </w:style>
  <w:style w:type="paragraph" w:customStyle="1" w:styleId="TekstgrafEO">
    <w:name w:val="Tekst graf_EO"/>
    <w:basedOn w:val="Normal"/>
    <w:link w:val="TekstgrafEOChar"/>
    <w:qFormat/>
    <w:rsid w:val="00695B5D"/>
    <w:pPr>
      <w:spacing w:line="240" w:lineRule="auto"/>
      <w:ind w:left="340"/>
    </w:pPr>
    <w:rPr>
      <w:rFonts w:eastAsia="Times New Roman" w:cs="Times New Roman"/>
      <w:sz w:val="18"/>
      <w:szCs w:val="18"/>
    </w:rPr>
  </w:style>
  <w:style w:type="character" w:customStyle="1" w:styleId="TekstgrafEOChar">
    <w:name w:val="Tekst graf_EO Char"/>
    <w:basedOn w:val="DefaultParagraphFont"/>
    <w:link w:val="TekstgrafEO"/>
    <w:rsid w:val="00695B5D"/>
    <w:rPr>
      <w:rFonts w:ascii="Myriad Pro" w:eastAsia="Times New Roman" w:hAnsi="Myriad Pro"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42122">
      <w:bodyDiv w:val="1"/>
      <w:marLeft w:val="0"/>
      <w:marRight w:val="0"/>
      <w:marTop w:val="0"/>
      <w:marBottom w:val="0"/>
      <w:divBdr>
        <w:top w:val="none" w:sz="0" w:space="0" w:color="auto"/>
        <w:left w:val="none" w:sz="0" w:space="0" w:color="auto"/>
        <w:bottom w:val="none" w:sz="0" w:space="0" w:color="auto"/>
        <w:right w:val="none" w:sz="0" w:space="0" w:color="auto"/>
      </w:divBdr>
    </w:div>
    <w:div w:id="1191844097">
      <w:bodyDiv w:val="1"/>
      <w:marLeft w:val="0"/>
      <w:marRight w:val="0"/>
      <w:marTop w:val="0"/>
      <w:marBottom w:val="0"/>
      <w:divBdr>
        <w:top w:val="none" w:sz="0" w:space="0" w:color="auto"/>
        <w:left w:val="none" w:sz="0" w:space="0" w:color="auto"/>
        <w:bottom w:val="none" w:sz="0" w:space="0" w:color="auto"/>
        <w:right w:val="none" w:sz="0" w:space="0" w:color="auto"/>
      </w:divBdr>
    </w:div>
    <w:div w:id="164137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9.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0C8EB5557A449B0BD9B315F6B461A" ma:contentTypeVersion="4" ma:contentTypeDescription="Create a new document." ma:contentTypeScope="" ma:versionID="ca530989153a568df916c30d777b9687">
  <xsd:schema xmlns:xsd="http://www.w3.org/2001/XMLSchema" xmlns:xs="http://www.w3.org/2001/XMLSchema" xmlns:p="http://schemas.microsoft.com/office/2006/metadata/properties" xmlns:ns2="49d731b7-cb5d-4d30-a5aa-8145da9c25d3" targetNamespace="http://schemas.microsoft.com/office/2006/metadata/properties" ma:root="true" ma:fieldsID="d92f2ae5e5f2e33108e697b9f59b8234" ns2:_="">
    <xsd:import namespace="49d731b7-cb5d-4d30-a5aa-8145da9c25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731b7-cb5d-4d30-a5aa-8145da9c25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CC34FF-9548-429B-9618-9C9DE6386B35}">
  <ds:schemaRefs>
    <ds:schemaRef ds:uri="http://schemas.openxmlformats.org/officeDocument/2006/bibliography"/>
  </ds:schemaRefs>
</ds:datastoreItem>
</file>

<file path=customXml/itemProps2.xml><?xml version="1.0" encoding="utf-8"?>
<ds:datastoreItem xmlns:ds="http://schemas.openxmlformats.org/officeDocument/2006/customXml" ds:itemID="{C74B9E76-8C85-44BA-9FD4-D57919973BC7}">
  <ds:schemaRefs>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49d731b7-cb5d-4d30-a5aa-8145da9c25d3"/>
    <ds:schemaRef ds:uri="http://www.w3.org/XML/1998/namespace"/>
  </ds:schemaRefs>
</ds:datastoreItem>
</file>

<file path=customXml/itemProps3.xml><?xml version="1.0" encoding="utf-8"?>
<ds:datastoreItem xmlns:ds="http://schemas.openxmlformats.org/officeDocument/2006/customXml" ds:itemID="{40E2B15E-46BC-430E-A472-D7521DD87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731b7-cb5d-4d30-a5aa-8145da9c2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933BF8-82B3-46A0-920C-261296221A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1331</Words>
  <Characters>7592</Characters>
  <Application>Microsoft Office Word</Application>
  <DocSecurity>0</DocSecurity>
  <Lines>63</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Južnik Rotar</dc:creator>
  <cp:keywords/>
  <dc:description/>
  <cp:lastModifiedBy>Matevž Hribernik</cp:lastModifiedBy>
  <cp:revision>4</cp:revision>
  <cp:lastPrinted>2023-01-05T21:44:00Z</cp:lastPrinted>
  <dcterms:created xsi:type="dcterms:W3CDTF">2023-05-16T07:15:00Z</dcterms:created>
  <dcterms:modified xsi:type="dcterms:W3CDTF">2023-05-22T13:40:00Z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0x0101004390C8EB5557A449B0BD9B315F6B461A</vt:lpwstr>
  </property>
</Properties>
</file>