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EC94A" w14:textId="77777777" w:rsidR="00785D8A" w:rsidRDefault="00785D8A" w:rsidP="001D6793">
      <w:pPr>
        <w:pStyle w:val="Naslov11"/>
      </w:pPr>
    </w:p>
    <w:p w14:paraId="1A950F05" w14:textId="1BC8357B" w:rsidR="001D6793" w:rsidRPr="00DE72F6" w:rsidRDefault="004B235F" w:rsidP="001D6793">
      <w:pPr>
        <w:pStyle w:val="Naslov11"/>
      </w:pPr>
      <w:r>
        <w:t>C</w:t>
      </w:r>
      <w:r w:rsidR="001E4A09">
        <w:t>HARTS OF THE WEEK</w:t>
      </w:r>
    </w:p>
    <w:p w14:paraId="636DFC9E" w14:textId="217CA8AD" w:rsidR="001D6793" w:rsidRDefault="00FA45E3" w:rsidP="001D6793">
      <w:pPr>
        <w:pStyle w:val="Naslov21"/>
      </w:pPr>
      <w:r>
        <w:t>24 October–4 November 2022</w:t>
      </w:r>
    </w:p>
    <w:p w14:paraId="0D813662" w14:textId="62600A0A" w:rsidR="00DF4F0B" w:rsidRDefault="00DF4F0B"/>
    <w:p w14:paraId="196DFF85" w14:textId="77777777" w:rsidR="00916FC4" w:rsidRDefault="00916FC4"/>
    <w:p w14:paraId="1C79C3BA" w14:textId="47FB509A" w:rsidR="00464F7B" w:rsidRPr="00A35AA0" w:rsidRDefault="00464F7B" w:rsidP="30F69369">
      <w:pPr>
        <w:rPr>
          <w:color w:val="000000" w:themeColor="text1"/>
        </w:rPr>
      </w:pPr>
      <w:r>
        <w:t xml:space="preserve">The year-on-year consumer price inflation </w:t>
      </w:r>
      <w:r w:rsidR="0035467D">
        <w:t>slowed slightly</w:t>
      </w:r>
      <w:r>
        <w:t xml:space="preserve"> in October (to 9.9%), mainly due to a higher base of last year and also month-on-month lower oil d</w:t>
      </w:r>
      <w:bookmarkStart w:id="0" w:name="_GoBack"/>
      <w:bookmarkEnd w:id="0"/>
      <w:r>
        <w:t>erivatives prices.</w:t>
      </w:r>
      <w:r>
        <w:rPr>
          <w:color w:val="000000" w:themeColor="text1"/>
        </w:rPr>
        <w:t xml:space="preserve"> The year-on-year price increase of food and non-alcoholic beverages was 17.2%. </w:t>
      </w:r>
      <w:r>
        <w:t xml:space="preserve">In the period from the beginning of August to the beginning of November, gas consumption was about 17% lower than the comparable average consumption over the last five years, which is related to the measures taken to reduce gas consumption, the adjustment of industry to rising gas prices and the warmer than average weather in October. Mainly due to lower industrial consumption, electricity consumption in October was also significantly lower year-on-year. </w:t>
      </w:r>
      <w:r>
        <w:rPr>
          <w:color w:val="000000" w:themeColor="text1"/>
        </w:rPr>
        <w:t xml:space="preserve">According to the seasonally adjusted data, the decline in the number of registered unemployed was similar to previous months, and the number of long-term unemployed also continued to fall. After a one-month interruption, turnover in market services increased again in August, supported by transportation and information and communication activities. </w:t>
      </w:r>
      <w:r>
        <w:t>Turnover in trade declined in September, but in the third quarter as a whole it remained similar to the second quarter in most trade sectors.</w:t>
      </w:r>
      <w:r>
        <w:rPr>
          <w:color w:val="000000" w:themeColor="text1"/>
        </w:rPr>
        <w:t xml:space="preserve"> The strengthening of the year-on-year growth in the nominal value of fiscally verified invoices in the second half of October has been largely influenced by the low base </w:t>
      </w:r>
      <w:r w:rsidR="0035467D">
        <w:rPr>
          <w:color w:val="000000" w:themeColor="text1"/>
        </w:rPr>
        <w:t xml:space="preserve">effect </w:t>
      </w:r>
      <w:r>
        <w:rPr>
          <w:color w:val="000000" w:themeColor="text1"/>
        </w:rPr>
        <w:t xml:space="preserve">since mid-September. </w:t>
      </w:r>
      <w:r>
        <w:rPr>
          <w:rStyle w:val="markedcontent"/>
        </w:rPr>
        <w:t xml:space="preserve">Trade in goods with EU Member States increased in the third quarter and was more favourable than expected given the situation in the international environment and deteriorating confidence indicators. </w:t>
      </w:r>
      <w:r>
        <w:rPr>
          <w:color w:val="000000" w:themeColor="text1"/>
        </w:rPr>
        <w:t>In the face of high inflation, the average gross wage fell year-on-year again in real terms in August. The decline was more pronounced in the public sector due to the still present base effect of last year.</w:t>
      </w:r>
    </w:p>
    <w:p w14:paraId="06568014" w14:textId="77777777" w:rsidR="00464F7B" w:rsidRDefault="00464F7B" w:rsidP="00464F7B">
      <w:pPr>
        <w:tabs>
          <w:tab w:val="left" w:pos="580"/>
        </w:tabs>
      </w:pPr>
    </w:p>
    <w:p w14:paraId="4F70300C" w14:textId="1DF02D81" w:rsidR="004F4C5E" w:rsidRDefault="004F4C5E" w:rsidP="001F51C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7D1395" w14:paraId="31986AD4" w14:textId="77777777" w:rsidTr="1F8CB033">
        <w:trPr>
          <w:trHeight w:val="207"/>
        </w:trPr>
        <w:tc>
          <w:tcPr>
            <w:tcW w:w="6096" w:type="dxa"/>
            <w:gridSpan w:val="2"/>
            <w:tcBorders>
              <w:bottom w:val="single" w:sz="4" w:space="0" w:color="auto"/>
            </w:tcBorders>
            <w:tcMar>
              <w:left w:w="0" w:type="dxa"/>
            </w:tcMar>
          </w:tcPr>
          <w:p w14:paraId="7F68B32A" w14:textId="77777777" w:rsidR="007D1395" w:rsidRPr="006C2117" w:rsidRDefault="007D1395" w:rsidP="00446344">
            <w:pPr>
              <w:pStyle w:val="Naslov31"/>
              <w:jc w:val="left"/>
            </w:pPr>
            <w:r>
              <w:t xml:space="preserve">Consumer prices, October 2022  </w:t>
            </w:r>
          </w:p>
        </w:tc>
        <w:tc>
          <w:tcPr>
            <w:tcW w:w="3543" w:type="dxa"/>
            <w:tcBorders>
              <w:bottom w:val="single" w:sz="4" w:space="0" w:color="auto"/>
            </w:tcBorders>
          </w:tcPr>
          <w:p w14:paraId="6EAE58FA" w14:textId="77777777" w:rsidR="007D1395" w:rsidRPr="006C2117" w:rsidRDefault="007D1395" w:rsidP="00446344">
            <w:pPr>
              <w:pStyle w:val="Naslov31"/>
            </w:pPr>
          </w:p>
        </w:tc>
      </w:tr>
      <w:tr w:rsidR="007D1395" w14:paraId="646AF540" w14:textId="77777777" w:rsidTr="1F8CB033">
        <w:trPr>
          <w:trHeight w:val="1134"/>
        </w:trPr>
        <w:tc>
          <w:tcPr>
            <w:tcW w:w="4982" w:type="dxa"/>
            <w:tcBorders>
              <w:top w:val="single" w:sz="4" w:space="0" w:color="auto"/>
            </w:tcBorders>
            <w:tcMar>
              <w:left w:w="0" w:type="dxa"/>
            </w:tcMar>
          </w:tcPr>
          <w:p w14:paraId="3F47122B" w14:textId="7B375112" w:rsidR="007D1395" w:rsidRDefault="00870971" w:rsidP="00446344">
            <w:pPr>
              <w:pStyle w:val="Odstavekseznama"/>
              <w:ind w:left="0"/>
            </w:pPr>
            <w:r>
              <w:rPr>
                <w:noProof/>
              </w:rPr>
              <w:drawing>
                <wp:inline distT="0" distB="0" distL="0" distR="0" wp14:anchorId="475FBAA5" wp14:editId="142E1734">
                  <wp:extent cx="3110400" cy="2530800"/>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0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490DC95" w14:textId="7DFB4FDC" w:rsidR="007D1395" w:rsidRPr="00DF4F0B" w:rsidRDefault="7AE83063" w:rsidP="00446344">
            <w:r w:rsidRPr="1F8CB033">
              <w:rPr>
                <w:b/>
                <w:bCs/>
              </w:rPr>
              <w:t xml:space="preserve">The year-on-year increase in consumer prices continued to slow slightly in October (to 9.9%). </w:t>
            </w:r>
            <w:r>
              <w:t>The increase in energy prices slowed further to 18.7% year-on-year, the lowest level in six months. Energy contributed 2.2</w:t>
            </w:r>
            <w:r w:rsidR="007F107E">
              <w:t xml:space="preserve"> </w:t>
            </w:r>
            <w:r>
              <w:t xml:space="preserve">p.p. to year-on-year inflation. The slower growth was mainly the result of a higher base of last year and also the monthly decline in oil derivatives prices, which still largely exclude the 25 October price hike. In terms of energy prices, solid fuel prices continue to rise rapidly. In the last two months alone, they rose by more than 30%, and year-on-year they were up by almost 125%. The year-on-year increase in food and non-alcoholic beverage prices continued to strengthen in October, already reaching 17.2% (the highest in two decades) and contributing 2.8 </w:t>
            </w:r>
            <w:r w:rsidR="6D22ADA8">
              <w:t>p.p.</w:t>
            </w:r>
            <w:r w:rsidR="289B6435">
              <w:t xml:space="preserve"> </w:t>
            </w:r>
            <w:r>
              <w:t>to inflation. The monthly increase in food and non-alcoholic beverage prices was 2.5%, the second highest this year. Year-on-year growth in durable goods prices, which had been just over 10% since the end of the first half of the year, fell to 9.8% in October. The year-on-year increase in prices of semi-durable goods was still relatively subdued at 4%. Service prices rose by almost 6% year-on-year.</w:t>
            </w:r>
          </w:p>
        </w:tc>
      </w:tr>
    </w:tbl>
    <w:p w14:paraId="220E6BFB" w14:textId="1E5145EA" w:rsidR="004F4C5E" w:rsidRDefault="004F4C5E" w:rsidP="001F51C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688"/>
        <w:gridCol w:w="3969"/>
      </w:tblGrid>
      <w:tr w:rsidR="004364C9" w14:paraId="2B42BC3B" w14:textId="77777777" w:rsidTr="00446344">
        <w:trPr>
          <w:trHeight w:val="207"/>
        </w:trPr>
        <w:tc>
          <w:tcPr>
            <w:tcW w:w="5670" w:type="dxa"/>
            <w:gridSpan w:val="2"/>
            <w:tcBorders>
              <w:bottom w:val="single" w:sz="4" w:space="0" w:color="auto"/>
            </w:tcBorders>
            <w:tcMar>
              <w:left w:w="0" w:type="dxa"/>
            </w:tcMar>
          </w:tcPr>
          <w:p w14:paraId="38A4A31F" w14:textId="77777777" w:rsidR="004364C9" w:rsidRPr="006C2117" w:rsidRDefault="004364C9" w:rsidP="00446344">
            <w:pPr>
              <w:pStyle w:val="Naslov31"/>
              <w:jc w:val="left"/>
            </w:pPr>
            <w:r>
              <w:t>Natural gas consumption, August–October 2022</w:t>
            </w:r>
          </w:p>
        </w:tc>
        <w:tc>
          <w:tcPr>
            <w:tcW w:w="3969" w:type="dxa"/>
            <w:tcBorders>
              <w:bottom w:val="single" w:sz="4" w:space="0" w:color="auto"/>
            </w:tcBorders>
          </w:tcPr>
          <w:p w14:paraId="1F12B1FB" w14:textId="77777777" w:rsidR="004364C9" w:rsidRPr="006C2117" w:rsidRDefault="004364C9" w:rsidP="00446344">
            <w:pPr>
              <w:pStyle w:val="Naslov31"/>
            </w:pPr>
          </w:p>
        </w:tc>
      </w:tr>
      <w:tr w:rsidR="004364C9" w14:paraId="434CFCC5" w14:textId="77777777" w:rsidTr="00446344">
        <w:trPr>
          <w:trHeight w:val="1134"/>
        </w:trPr>
        <w:tc>
          <w:tcPr>
            <w:tcW w:w="4982" w:type="dxa"/>
            <w:tcBorders>
              <w:top w:val="single" w:sz="4" w:space="0" w:color="auto"/>
            </w:tcBorders>
            <w:tcMar>
              <w:left w:w="0" w:type="dxa"/>
            </w:tcMar>
          </w:tcPr>
          <w:p w14:paraId="3A3BF94D" w14:textId="0DDD3827" w:rsidR="004364C9" w:rsidRDefault="007D3855" w:rsidP="00446344">
            <w:pPr>
              <w:pStyle w:val="Odstavekseznama"/>
              <w:ind w:left="0"/>
            </w:pPr>
            <w:r>
              <w:rPr>
                <w:noProof/>
              </w:rPr>
              <w:drawing>
                <wp:inline distT="0" distB="0" distL="0" distR="0" wp14:anchorId="7A94B486" wp14:editId="7ABFE810">
                  <wp:extent cx="3117600" cy="2552400"/>
                  <wp:effectExtent l="0" t="0" r="6985" b="6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7600" cy="25524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9D7DEF5" w14:textId="714434EE" w:rsidR="004364C9" w:rsidRPr="00DF4F0B" w:rsidRDefault="004364C9" w:rsidP="00446344">
            <w:r>
              <w:rPr>
                <w:b/>
                <w:bCs/>
              </w:rPr>
              <w:t>Natural gas consumption in August and September was below the comparable average consumption over the last five years (by 14% and 11% respectively)</w:t>
            </w:r>
            <w:r w:rsidR="00CB7BF8">
              <w:rPr>
                <w:b/>
                <w:bCs/>
              </w:rPr>
              <w:t>,</w:t>
            </w:r>
            <w:r w:rsidR="0054508C" w:rsidRPr="0054508C">
              <w:rPr>
                <w:b/>
                <w:bCs/>
                <w:vertAlign w:val="superscript"/>
              </w:rPr>
              <w:t>[</w:t>
            </w:r>
            <w:r>
              <w:rPr>
                <w:b/>
                <w:bCs/>
                <w:vertAlign w:val="superscript"/>
              </w:rPr>
              <w:t>1</w:t>
            </w:r>
            <w:r w:rsidR="0054508C">
              <w:rPr>
                <w:b/>
                <w:bCs/>
                <w:vertAlign w:val="superscript"/>
              </w:rPr>
              <w:t>]</w:t>
            </w:r>
            <w:r>
              <w:rPr>
                <w:b/>
                <w:bCs/>
              </w:rPr>
              <w:t xml:space="preserve"> and based on available data, the decline in October is expected to be more than 20% as the weather was warmer than average.</w:t>
            </w:r>
            <w:r>
              <w:rPr>
                <w:b/>
              </w:rPr>
              <w:t xml:space="preserve"> </w:t>
            </w:r>
            <w:r>
              <w:t>According to Eurostat, the average decline in gas consumption in EU Member States in August was the same as in Slovenia, and in September it was 15%. The decrease is driven by various measures taken by EU Member States to reduce gas consumption and adjustment of industry to rising prices of gas by reducing its consumption. The warm weather in October also contributed to lower consumption compared to previous years and helped to ensure that European gas storage facilities are almost full</w:t>
            </w:r>
            <w:r w:rsidR="00CB7BF8">
              <w:t>.</w:t>
            </w:r>
            <w:r w:rsidR="0054508C" w:rsidRPr="0054508C">
              <w:rPr>
                <w:vertAlign w:val="superscript"/>
              </w:rPr>
              <w:t>[</w:t>
            </w:r>
            <w:r>
              <w:rPr>
                <w:vertAlign w:val="superscript"/>
              </w:rPr>
              <w:t>2</w:t>
            </w:r>
            <w:r w:rsidR="0054508C">
              <w:rPr>
                <w:vertAlign w:val="superscript"/>
              </w:rPr>
              <w:t>]</w:t>
            </w:r>
            <w:r>
              <w:t xml:space="preserve"> According to preliminary data, gas consumption in Slovenia from 1 August to 4 November 2022 was about 17% lower than the comparable average consumption over the last five years. </w:t>
            </w:r>
            <w:bookmarkStart w:id="1" w:name="_Hlk118611681"/>
          </w:p>
          <w:bookmarkEnd w:id="1"/>
          <w:p w14:paraId="59912AA1" w14:textId="77777777" w:rsidR="004364C9" w:rsidRPr="00DF4F0B" w:rsidRDefault="004364C9" w:rsidP="00446344">
            <w:r>
              <w:br/>
            </w:r>
            <w:r>
              <w:br/>
            </w:r>
          </w:p>
          <w:p w14:paraId="311D4339" w14:textId="63D31468" w:rsidR="004364C9" w:rsidRPr="0054493B" w:rsidRDefault="0054508C" w:rsidP="00446344">
            <w:pPr>
              <w:rPr>
                <w:rFonts w:eastAsia="Myriad Pro" w:cs="Myriad Pro"/>
                <w:sz w:val="16"/>
                <w:szCs w:val="16"/>
              </w:rPr>
            </w:pPr>
            <w:r>
              <w:rPr>
                <w:sz w:val="16"/>
                <w:szCs w:val="16"/>
                <w:vertAlign w:val="superscript"/>
              </w:rPr>
              <w:t>[</w:t>
            </w:r>
            <w:r w:rsidR="004364C9" w:rsidRPr="0054493B">
              <w:rPr>
                <w:sz w:val="16"/>
                <w:szCs w:val="16"/>
                <w:vertAlign w:val="superscript"/>
              </w:rPr>
              <w:t>1</w:t>
            </w:r>
            <w:r>
              <w:rPr>
                <w:sz w:val="16"/>
                <w:szCs w:val="16"/>
                <w:vertAlign w:val="superscript"/>
              </w:rPr>
              <w:t>]</w:t>
            </w:r>
            <w:r w:rsidR="004364C9" w:rsidRPr="0054493B">
              <w:rPr>
                <w:sz w:val="16"/>
                <w:szCs w:val="16"/>
              </w:rPr>
              <w:t xml:space="preserve"> In accordance with Council Regulation (EU) 2022/1369 of 5 August 2022 on coordinated demand-reduction measures for gas, in the period from 1 August 2022 to 31 March 2023 all EU Member States have to reduce their gas consumption by at least 15% compared to their average consumption over the same period over the last five years.</w:t>
            </w:r>
          </w:p>
          <w:p w14:paraId="4AA8A84A" w14:textId="512C5884" w:rsidR="004364C9" w:rsidRPr="004B3F10" w:rsidRDefault="0054508C" w:rsidP="00446344">
            <w:pPr>
              <w:rPr>
                <w:rFonts w:eastAsia="Myriad Pro" w:cs="Myriad Pro"/>
                <w:sz w:val="16"/>
                <w:szCs w:val="16"/>
              </w:rPr>
            </w:pPr>
            <w:r>
              <w:rPr>
                <w:sz w:val="16"/>
                <w:szCs w:val="16"/>
                <w:vertAlign w:val="superscript"/>
              </w:rPr>
              <w:t>[</w:t>
            </w:r>
            <w:r w:rsidR="004364C9" w:rsidRPr="0054493B">
              <w:rPr>
                <w:sz w:val="16"/>
                <w:szCs w:val="16"/>
                <w:vertAlign w:val="superscript"/>
              </w:rPr>
              <w:t>2</w:t>
            </w:r>
            <w:r>
              <w:rPr>
                <w:sz w:val="16"/>
                <w:szCs w:val="16"/>
                <w:vertAlign w:val="superscript"/>
              </w:rPr>
              <w:t>]</w:t>
            </w:r>
            <w:r w:rsidR="004364C9" w:rsidRPr="0054493B">
              <w:rPr>
                <w:sz w:val="16"/>
                <w:szCs w:val="16"/>
              </w:rPr>
              <w:t xml:space="preserve"> According to Plinovodi, gas storage capacity in the EU was over 94% full at the end of October 2022.</w:t>
            </w:r>
          </w:p>
        </w:tc>
      </w:tr>
    </w:tbl>
    <w:p w14:paraId="70502B10" w14:textId="4E90EDF0" w:rsidR="004364C9" w:rsidRDefault="004364C9">
      <w:pPr>
        <w:spacing w:after="160" w:line="259" w:lineRule="auto"/>
        <w:jc w:val="left"/>
      </w:pPr>
    </w:p>
    <w:p w14:paraId="2904E409" w14:textId="3BACEA90" w:rsidR="004364C9" w:rsidRDefault="004364C9">
      <w:pPr>
        <w:spacing w:after="160" w:line="259" w:lineRule="auto"/>
        <w:jc w:val="lef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4364C9" w:rsidRPr="007A0B59" w14:paraId="60FE951B" w14:textId="77777777" w:rsidTr="00446344">
        <w:trPr>
          <w:trHeight w:val="207"/>
        </w:trPr>
        <w:tc>
          <w:tcPr>
            <w:tcW w:w="4819" w:type="dxa"/>
            <w:tcBorders>
              <w:bottom w:val="single" w:sz="4" w:space="0" w:color="auto"/>
            </w:tcBorders>
            <w:tcMar>
              <w:left w:w="0" w:type="dxa"/>
            </w:tcMar>
          </w:tcPr>
          <w:p w14:paraId="5B382805" w14:textId="77777777" w:rsidR="004364C9" w:rsidRPr="007A0B59" w:rsidRDefault="004364C9" w:rsidP="00446344">
            <w:pPr>
              <w:pStyle w:val="Naslov31"/>
              <w:jc w:val="left"/>
            </w:pPr>
            <w:r>
              <w:t xml:space="preserve">Electricity consumption, October 2022 </w:t>
            </w:r>
          </w:p>
        </w:tc>
        <w:tc>
          <w:tcPr>
            <w:tcW w:w="4820" w:type="dxa"/>
            <w:gridSpan w:val="2"/>
            <w:tcBorders>
              <w:bottom w:val="single" w:sz="4" w:space="0" w:color="auto"/>
            </w:tcBorders>
          </w:tcPr>
          <w:p w14:paraId="1464257B" w14:textId="77777777" w:rsidR="004364C9" w:rsidRPr="007A0B59" w:rsidRDefault="004364C9" w:rsidP="00446344">
            <w:pPr>
              <w:pStyle w:val="Naslov31"/>
            </w:pPr>
          </w:p>
        </w:tc>
      </w:tr>
      <w:tr w:rsidR="004364C9" w:rsidRPr="00DF4F0B" w14:paraId="3B55D1C4" w14:textId="77777777" w:rsidTr="00446344">
        <w:trPr>
          <w:trHeight w:val="1134"/>
        </w:trPr>
        <w:tc>
          <w:tcPr>
            <w:tcW w:w="4982" w:type="dxa"/>
            <w:gridSpan w:val="2"/>
            <w:tcBorders>
              <w:top w:val="single" w:sz="4" w:space="0" w:color="auto"/>
            </w:tcBorders>
            <w:tcMar>
              <w:left w:w="0" w:type="dxa"/>
            </w:tcMar>
          </w:tcPr>
          <w:p w14:paraId="21AB1A35" w14:textId="3AE7EBC2" w:rsidR="004364C9" w:rsidRDefault="00952E9F" w:rsidP="00446344">
            <w:pPr>
              <w:pStyle w:val="Odstavekseznama"/>
              <w:ind w:left="0"/>
            </w:pPr>
            <w:r>
              <w:rPr>
                <w:noProof/>
              </w:rPr>
              <w:drawing>
                <wp:inline distT="0" distB="0" distL="0" distR="0" wp14:anchorId="124E11B8" wp14:editId="6E4C4F96">
                  <wp:extent cx="3096000" cy="2530800"/>
                  <wp:effectExtent l="0" t="0" r="0" b="31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tcBorders>
              <w:top w:val="single" w:sz="4" w:space="0" w:color="auto"/>
            </w:tcBorders>
            <w:tcMar>
              <w:left w:w="284" w:type="dxa"/>
            </w:tcMar>
          </w:tcPr>
          <w:p w14:paraId="3C191E39" w14:textId="77777777" w:rsidR="004364C9" w:rsidRPr="00F416D6" w:rsidRDefault="004364C9" w:rsidP="00446344">
            <w:pPr>
              <w:rPr>
                <w:b/>
                <w:bCs/>
              </w:rPr>
            </w:pPr>
            <w:r>
              <w:rPr>
                <w:b/>
              </w:rPr>
              <w:t xml:space="preserve">Electricity consumption was 12% lower year-on-year in October. </w:t>
            </w:r>
            <w:r>
              <w:t>We estimate that this was mainly due to lower industrial consumption. This is related to a reduction in production activity, especially in some energy-intensive companies due to high energy prices, and to a more efficient energy consumption. Slovenia’s main trading partners also recorded a year-on-year decline in consumption in October (France by 3%, and Austria, Italy, Germany and Croatia by 7%).</w:t>
            </w:r>
          </w:p>
          <w:p w14:paraId="2AA948AD" w14:textId="77777777" w:rsidR="004364C9" w:rsidRPr="00F416D6" w:rsidRDefault="004364C9" w:rsidP="00446344"/>
        </w:tc>
      </w:tr>
    </w:tbl>
    <w:p w14:paraId="73AF601D" w14:textId="03F845A2" w:rsidR="004364C9" w:rsidRDefault="004364C9">
      <w:pPr>
        <w:spacing w:after="160" w:line="259" w:lineRule="auto"/>
        <w:jc w:val="lef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822"/>
        <w:gridCol w:w="2835"/>
      </w:tblGrid>
      <w:tr w:rsidR="007D1395" w14:paraId="1867554B" w14:textId="77777777" w:rsidTr="294B052D">
        <w:trPr>
          <w:trHeight w:val="207"/>
        </w:trPr>
        <w:tc>
          <w:tcPr>
            <w:tcW w:w="6804" w:type="dxa"/>
            <w:gridSpan w:val="2"/>
            <w:tcBorders>
              <w:bottom w:val="single" w:sz="4" w:space="0" w:color="auto"/>
            </w:tcBorders>
            <w:tcMar>
              <w:left w:w="0" w:type="dxa"/>
            </w:tcMar>
          </w:tcPr>
          <w:p w14:paraId="0B901D4A" w14:textId="77777777" w:rsidR="007D1395" w:rsidRPr="006C2117" w:rsidRDefault="007D1395" w:rsidP="00446344">
            <w:pPr>
              <w:pStyle w:val="Naslov32"/>
              <w:jc w:val="left"/>
            </w:pPr>
            <w:r>
              <w:lastRenderedPageBreak/>
              <w:t>Value of fiscally verified invoices, in nominal terms, 16–29 October 2022</w:t>
            </w:r>
          </w:p>
        </w:tc>
        <w:tc>
          <w:tcPr>
            <w:tcW w:w="2835" w:type="dxa"/>
            <w:tcBorders>
              <w:bottom w:val="single" w:sz="4" w:space="0" w:color="auto"/>
            </w:tcBorders>
          </w:tcPr>
          <w:p w14:paraId="32C05AC7" w14:textId="77777777" w:rsidR="007D1395" w:rsidRPr="006C2117" w:rsidRDefault="007D1395" w:rsidP="00446344">
            <w:pPr>
              <w:pStyle w:val="Naslov32"/>
            </w:pPr>
          </w:p>
        </w:tc>
      </w:tr>
      <w:tr w:rsidR="007D1395" w14:paraId="1AB490EB" w14:textId="77777777" w:rsidTr="294B052D">
        <w:trPr>
          <w:trHeight w:val="1134"/>
        </w:trPr>
        <w:tc>
          <w:tcPr>
            <w:tcW w:w="4982" w:type="dxa"/>
            <w:tcBorders>
              <w:top w:val="single" w:sz="4" w:space="0" w:color="auto"/>
            </w:tcBorders>
            <w:tcMar>
              <w:left w:w="0" w:type="dxa"/>
            </w:tcMar>
          </w:tcPr>
          <w:p w14:paraId="4F3FDF49" w14:textId="7C92ECEB" w:rsidR="007D1395" w:rsidRDefault="009A24D2" w:rsidP="00446344">
            <w:pPr>
              <w:pStyle w:val="Odstavekseznama"/>
              <w:ind w:left="0"/>
              <w:rPr>
                <w:noProof/>
              </w:rPr>
            </w:pPr>
            <w:r>
              <w:rPr>
                <w:noProof/>
              </w:rPr>
              <w:drawing>
                <wp:inline distT="0" distB="0" distL="0" distR="0" wp14:anchorId="19837E8F" wp14:editId="2B97F6B9">
                  <wp:extent cx="3103200" cy="2545200"/>
                  <wp:effectExtent l="0" t="0" r="2540" b="762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3200" cy="25452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3A95AA57" w14:textId="201B9583" w:rsidR="007D1395" w:rsidRPr="007D1395" w:rsidRDefault="7AE83063" w:rsidP="00446344">
            <w:pPr>
              <w:rPr>
                <w:rFonts w:eastAsia="Myriad Pro" w:cs="Myriad Pro"/>
                <w:color w:val="000000" w:themeColor="text1"/>
              </w:rPr>
            </w:pPr>
            <w:r w:rsidRPr="294B052D">
              <w:rPr>
                <w:b/>
                <w:bCs/>
                <w:color w:val="000000" w:themeColor="text1"/>
              </w:rPr>
              <w:t>Amid high price growth, the value of fiscally verified invoices between 16 and 29 October 2022 was 16% higher year-on-year in nominal terms and 23% higher than in the same period of 2019.</w:t>
            </w:r>
            <w:r>
              <w:rPr>
                <w:color w:val="000000" w:themeColor="text1"/>
              </w:rPr>
              <w:t xml:space="preserve"> Year-on-year growth, which has strengthened since mid-September mainly due to last year’s lower base (in mid-September last year</w:t>
            </w:r>
            <w:r w:rsidR="007209FE">
              <w:rPr>
                <w:color w:val="000000" w:themeColor="text1"/>
              </w:rPr>
              <w:t>,</w:t>
            </w:r>
            <w:r>
              <w:rPr>
                <w:color w:val="000000" w:themeColor="text1"/>
              </w:rPr>
              <w:t xml:space="preserve"> the recovered/vaccinated/tested rule was extended to users of most services), was slightly higher than in the previous two weeks. This was mainly due to a stronger nominal growth in trade (16%), where turnover growth was higher in all three main sectors (retail, wholesale, motor vehicles). </w:t>
            </w:r>
            <w:r>
              <w:t>After rising in recent weeks, year-on-year growth of turnover in accommodation and food service activities more than halved (to 9%), due to more than a tenth lower turnover in accommodation establishments, partly as a result of the redemption of vouchers in October last year.</w:t>
            </w:r>
            <w:r>
              <w:rPr>
                <w:color w:val="000000"/>
                <w:shd w:val="clear" w:color="auto" w:fill="FFFFFF"/>
              </w:rPr>
              <w:t xml:space="preserve"> </w:t>
            </w:r>
            <w:r>
              <w:t xml:space="preserve">Turnover in food and beverage service activities </w:t>
            </w:r>
            <w:r>
              <w:rPr>
                <w:color w:val="000000" w:themeColor="text1"/>
              </w:rPr>
              <w:t>was up by a fifth.</w:t>
            </w:r>
          </w:p>
        </w:tc>
      </w:tr>
    </w:tbl>
    <w:p w14:paraId="545E92F3" w14:textId="77777777" w:rsidR="007D1395" w:rsidRDefault="007D1395">
      <w:pPr>
        <w:spacing w:after="160" w:line="259" w:lineRule="auto"/>
        <w:jc w:val="left"/>
      </w:pPr>
    </w:p>
    <w:p w14:paraId="5AD99A9D" w14:textId="77777777" w:rsidR="007D1395" w:rsidRDefault="007D1395">
      <w:pPr>
        <w:spacing w:after="160" w:line="259" w:lineRule="auto"/>
        <w:jc w:val="lef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D1395" w:rsidRPr="007A0B59" w14:paraId="18A05921" w14:textId="77777777" w:rsidTr="00446344">
        <w:trPr>
          <w:trHeight w:val="207"/>
        </w:trPr>
        <w:tc>
          <w:tcPr>
            <w:tcW w:w="4819" w:type="dxa"/>
            <w:tcBorders>
              <w:bottom w:val="single" w:sz="4" w:space="0" w:color="auto"/>
            </w:tcBorders>
            <w:tcMar>
              <w:left w:w="0" w:type="dxa"/>
            </w:tcMar>
          </w:tcPr>
          <w:p w14:paraId="6048A9C5" w14:textId="77777777" w:rsidR="007D1395" w:rsidRPr="007A0B59" w:rsidRDefault="007D1395" w:rsidP="00446344">
            <w:pPr>
              <w:pStyle w:val="Naslov31"/>
              <w:jc w:val="left"/>
            </w:pPr>
            <w:r>
              <w:t xml:space="preserve">Turnover in trade, August–September 2022 </w:t>
            </w:r>
          </w:p>
        </w:tc>
        <w:tc>
          <w:tcPr>
            <w:tcW w:w="4820" w:type="dxa"/>
            <w:gridSpan w:val="2"/>
            <w:tcBorders>
              <w:bottom w:val="single" w:sz="4" w:space="0" w:color="auto"/>
            </w:tcBorders>
          </w:tcPr>
          <w:p w14:paraId="5EA5C5C1" w14:textId="77777777" w:rsidR="007D1395" w:rsidRPr="007A0B59" w:rsidRDefault="007D1395" w:rsidP="00446344">
            <w:pPr>
              <w:pStyle w:val="Naslov31"/>
            </w:pPr>
          </w:p>
        </w:tc>
      </w:tr>
      <w:tr w:rsidR="007D1395" w:rsidRPr="00DF4F0B" w14:paraId="0FFEA440" w14:textId="77777777" w:rsidTr="00446344">
        <w:trPr>
          <w:trHeight w:val="1134"/>
        </w:trPr>
        <w:tc>
          <w:tcPr>
            <w:tcW w:w="4982" w:type="dxa"/>
            <w:gridSpan w:val="2"/>
            <w:tcBorders>
              <w:top w:val="single" w:sz="4" w:space="0" w:color="auto"/>
            </w:tcBorders>
            <w:tcMar>
              <w:left w:w="0" w:type="dxa"/>
            </w:tcMar>
          </w:tcPr>
          <w:p w14:paraId="5A87FC90" w14:textId="0038393C" w:rsidR="007D1395" w:rsidRDefault="004B2D4F" w:rsidP="00446344">
            <w:pPr>
              <w:pStyle w:val="Odstavekseznama"/>
              <w:ind w:left="0"/>
            </w:pPr>
            <w:r>
              <w:rPr>
                <w:noProof/>
              </w:rPr>
              <w:drawing>
                <wp:inline distT="0" distB="0" distL="0" distR="0" wp14:anchorId="0ABFE26F" wp14:editId="07F86740">
                  <wp:extent cx="3096000" cy="2530800"/>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tcBorders>
              <w:top w:val="single" w:sz="4" w:space="0" w:color="auto"/>
            </w:tcBorders>
            <w:tcMar>
              <w:left w:w="284" w:type="dxa"/>
            </w:tcMar>
          </w:tcPr>
          <w:p w14:paraId="2DF0F548" w14:textId="2D33A163" w:rsidR="007D1395" w:rsidRPr="00DB73F6" w:rsidRDefault="007D1395" w:rsidP="00446344">
            <w:pPr>
              <w:pStyle w:val="TekstgrafEO"/>
              <w:ind w:left="-23"/>
              <w:rPr>
                <w:sz w:val="20"/>
                <w:szCs w:val="20"/>
              </w:rPr>
            </w:pPr>
            <w:r>
              <w:rPr>
                <w:rStyle w:val="normaltextrun"/>
                <w:b/>
                <w:color w:val="000000"/>
                <w:sz w:val="20"/>
                <w:shd w:val="clear" w:color="auto" w:fill="FFFFFF"/>
              </w:rPr>
              <w:t>According to preliminary data, turnover in trade declined in September after growth in August, but in the third quarter as a whole it remained similar to the second quarter in most sectors.</w:t>
            </w:r>
            <w:r>
              <w:rPr>
                <w:rStyle w:val="normaltextrun"/>
                <w:color w:val="000000"/>
                <w:sz w:val="20"/>
                <w:shd w:val="clear" w:color="auto" w:fill="FFFFFF"/>
              </w:rPr>
              <w:t xml:space="preserve"> The exception was turnover in wholesale trade, which recorded a significant drop, and turnover in the sale of motor vehicles, which increased significantly. </w:t>
            </w:r>
            <w:r>
              <w:rPr>
                <w:rStyle w:val="normaltextrun"/>
                <w:sz w:val="20"/>
              </w:rPr>
              <w:t xml:space="preserve">Despite the increase, this was the only major trade segment to fall far short of pre-epidemic turnover; turnover was also lower than in the </w:t>
            </w:r>
            <w:r w:rsidRPr="00046D89">
              <w:rPr>
                <w:rStyle w:val="normaltextrun"/>
                <w:sz w:val="20"/>
              </w:rPr>
              <w:t>third quarter last year.</w:t>
            </w:r>
            <w:r w:rsidRPr="00046D89">
              <w:rPr>
                <w:rStyle w:val="normaltextrun"/>
                <w:color w:val="000000"/>
                <w:sz w:val="20"/>
                <w:shd w:val="clear" w:color="auto" w:fill="FFFFFF"/>
              </w:rPr>
              <w:t xml:space="preserve"> In the third quarter, turnover in </w:t>
            </w:r>
            <w:r w:rsidRPr="00046D89">
              <w:rPr>
                <w:rStyle w:val="normaltextrun"/>
                <w:iCs/>
                <w:color w:val="000000"/>
                <w:sz w:val="20"/>
                <w:shd w:val="clear" w:color="auto" w:fill="FFFFFF"/>
              </w:rPr>
              <w:t>retail sales</w:t>
            </w:r>
            <w:r w:rsidRPr="00046D89">
              <w:rPr>
                <w:rStyle w:val="normaltextrun"/>
                <w:color w:val="000000"/>
                <w:sz w:val="20"/>
                <w:shd w:val="clear" w:color="auto" w:fill="FFFFFF"/>
              </w:rPr>
              <w:t xml:space="preserve"> of food, beverages and tobacco products also remained</w:t>
            </w:r>
            <w:r>
              <w:rPr>
                <w:rStyle w:val="normaltextrun"/>
                <w:color w:val="000000"/>
                <w:sz w:val="20"/>
                <w:shd w:val="clear" w:color="auto" w:fill="FFFFFF"/>
              </w:rPr>
              <w:t xml:space="preserve"> lower year-on-year. </w:t>
            </w:r>
            <w:r>
              <w:rPr>
                <w:rStyle w:val="normaltextrun"/>
                <w:sz w:val="20"/>
              </w:rPr>
              <w:t>In other sectors, year-on-year turnover growth continued to weaken.</w:t>
            </w:r>
            <w:r w:rsidRPr="00DB73F6">
              <w:rPr>
                <w:rStyle w:val="Sprotnaopomba-sklic"/>
                <w:color w:val="000000"/>
                <w:sz w:val="20"/>
                <w:szCs w:val="20"/>
                <w:shd w:val="clear" w:color="auto" w:fill="FFFFFF"/>
              </w:rPr>
              <w:footnoteReference w:id="2"/>
            </w:r>
          </w:p>
        </w:tc>
      </w:tr>
    </w:tbl>
    <w:p w14:paraId="40BAFB54" w14:textId="77777777" w:rsidR="007D1395" w:rsidRDefault="007D1395">
      <w:pPr>
        <w:spacing w:after="160" w:line="259" w:lineRule="auto"/>
        <w:jc w:val="left"/>
      </w:pPr>
    </w:p>
    <w:p w14:paraId="4E1EB845" w14:textId="660B506E" w:rsidR="007D1395" w:rsidRDefault="007D1395">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6C6A50" w:rsidRPr="006C2117" w14:paraId="5C6A1A45" w14:textId="77777777" w:rsidTr="00446344">
        <w:trPr>
          <w:trHeight w:val="207"/>
        </w:trPr>
        <w:tc>
          <w:tcPr>
            <w:tcW w:w="6096" w:type="dxa"/>
            <w:gridSpan w:val="2"/>
            <w:tcBorders>
              <w:bottom w:val="single" w:sz="4" w:space="0" w:color="auto"/>
            </w:tcBorders>
            <w:tcMar>
              <w:left w:w="0" w:type="dxa"/>
            </w:tcMar>
          </w:tcPr>
          <w:p w14:paraId="6866AA81" w14:textId="77777777" w:rsidR="006C6A50" w:rsidRPr="006C2117" w:rsidRDefault="006C6A50" w:rsidP="00446344">
            <w:pPr>
              <w:pStyle w:val="Naslov31"/>
              <w:jc w:val="left"/>
            </w:pPr>
            <w:r>
              <w:lastRenderedPageBreak/>
              <w:t xml:space="preserve">Turnover in market services, August 2022 </w:t>
            </w:r>
          </w:p>
        </w:tc>
        <w:tc>
          <w:tcPr>
            <w:tcW w:w="3543" w:type="dxa"/>
            <w:tcBorders>
              <w:bottom w:val="single" w:sz="4" w:space="0" w:color="auto"/>
            </w:tcBorders>
          </w:tcPr>
          <w:p w14:paraId="45A8163E" w14:textId="77777777" w:rsidR="006C6A50" w:rsidRPr="006C2117" w:rsidRDefault="006C6A50" w:rsidP="00446344">
            <w:pPr>
              <w:pStyle w:val="Naslov31"/>
            </w:pPr>
          </w:p>
        </w:tc>
      </w:tr>
      <w:tr w:rsidR="006C6A50" w:rsidRPr="00DF4F0B" w14:paraId="2D15CBA5" w14:textId="77777777" w:rsidTr="00446344">
        <w:trPr>
          <w:trHeight w:val="1134"/>
        </w:trPr>
        <w:tc>
          <w:tcPr>
            <w:tcW w:w="4982" w:type="dxa"/>
            <w:tcBorders>
              <w:top w:val="single" w:sz="4" w:space="0" w:color="auto"/>
            </w:tcBorders>
            <w:tcMar>
              <w:left w:w="0" w:type="dxa"/>
            </w:tcMar>
          </w:tcPr>
          <w:p w14:paraId="6D7EA96C" w14:textId="5276BFCF" w:rsidR="006C6A50" w:rsidRDefault="00B97C73" w:rsidP="00446344">
            <w:pPr>
              <w:pStyle w:val="Odstavekseznama"/>
              <w:ind w:left="0"/>
            </w:pPr>
            <w:r>
              <w:rPr>
                <w:noProof/>
              </w:rPr>
              <w:drawing>
                <wp:inline distT="0" distB="0" distL="0" distR="0" wp14:anchorId="7B40884E" wp14:editId="30A955E5">
                  <wp:extent cx="3096000" cy="2530800"/>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598DB997" w14:textId="3C4A6057" w:rsidR="006C6A50" w:rsidRPr="00DF4F0B" w:rsidRDefault="006C6A50" w:rsidP="00446344">
            <w:pPr>
              <w:tabs>
                <w:tab w:val="left" w:pos="580"/>
              </w:tabs>
            </w:pPr>
            <w:r>
              <w:rPr>
                <w:b/>
              </w:rPr>
              <w:t xml:space="preserve">After falling in July, </w:t>
            </w:r>
            <w:r w:rsidR="00446344">
              <w:rPr>
                <w:b/>
              </w:rPr>
              <w:t xml:space="preserve">real </w:t>
            </w:r>
            <w:r>
              <w:rPr>
                <w:b/>
              </w:rPr>
              <w:t xml:space="preserve">turnover in market services rose again in August, by 3.2% </w:t>
            </w:r>
            <w:r w:rsidR="00446344">
              <w:rPr>
                <w:b/>
              </w:rPr>
              <w:t xml:space="preserve">in current terms </w:t>
            </w:r>
            <w:r>
              <w:rPr>
                <w:b/>
              </w:rPr>
              <w:t xml:space="preserve">and by 7.8% year-on-year. </w:t>
            </w:r>
            <w:r>
              <w:t>After several months of decline, turnover in transport</w:t>
            </w:r>
            <w:r w:rsidR="007209FE">
              <w:t>ation</w:t>
            </w:r>
            <w:r>
              <w:t xml:space="preserve">, especially in storage, rose strongly again </w:t>
            </w:r>
            <w:r w:rsidR="00446344">
              <w:t xml:space="preserve">in current terms. </w:t>
            </w:r>
            <w:r>
              <w:t xml:space="preserve">Turnover also rose again in information and communication activities, with all services contributing to growth. Turnover continued to decline in </w:t>
            </w:r>
            <w:r w:rsidR="007209FE" w:rsidRPr="007209FE">
              <w:t xml:space="preserve">administrative and support service </w:t>
            </w:r>
            <w:r>
              <w:t xml:space="preserve">activities, mainly due to </w:t>
            </w:r>
            <w:r w:rsidR="00446344">
              <w:t xml:space="preserve">its </w:t>
            </w:r>
            <w:r>
              <w:t>significant drop in travel agenc</w:t>
            </w:r>
            <w:r w:rsidR="007209FE">
              <w:t>y activitie</w:t>
            </w:r>
            <w:r>
              <w:t xml:space="preserve">s. With the decline </w:t>
            </w:r>
            <w:r w:rsidR="00446344">
              <w:t xml:space="preserve">in current terms of </w:t>
            </w:r>
            <w:r>
              <w:t>overnight stays by domestic and foreign tourists, turnover in accommodation and food service activities also fell slightly. Turnover in professional and technical activities declined again, due to a decrease in consultancy activities.</w:t>
            </w:r>
          </w:p>
        </w:tc>
      </w:tr>
    </w:tbl>
    <w:p w14:paraId="61DCF2AD" w14:textId="77777777" w:rsidR="006C6A50" w:rsidRDefault="006C6A50">
      <w:pPr>
        <w:spacing w:after="160" w:line="259" w:lineRule="auto"/>
        <w:jc w:val="left"/>
      </w:pPr>
    </w:p>
    <w:p w14:paraId="5D718E23" w14:textId="77777777" w:rsidR="006C6A50" w:rsidRDefault="006C6A50">
      <w:pPr>
        <w:spacing w:after="160" w:line="259" w:lineRule="auto"/>
        <w:jc w:val="lef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7D1395" w14:paraId="6EA1D9D4" w14:textId="77777777" w:rsidTr="00446344">
        <w:trPr>
          <w:trHeight w:val="207"/>
        </w:trPr>
        <w:tc>
          <w:tcPr>
            <w:tcW w:w="6096" w:type="dxa"/>
            <w:gridSpan w:val="2"/>
            <w:tcBorders>
              <w:bottom w:val="single" w:sz="4" w:space="0" w:color="auto"/>
            </w:tcBorders>
            <w:tcMar>
              <w:left w:w="0" w:type="dxa"/>
            </w:tcMar>
          </w:tcPr>
          <w:p w14:paraId="0C740662" w14:textId="77777777" w:rsidR="007D1395" w:rsidRPr="006C2117" w:rsidRDefault="007D1395" w:rsidP="00446344">
            <w:pPr>
              <w:pStyle w:val="Naslov31"/>
              <w:jc w:val="left"/>
            </w:pPr>
            <w:r>
              <w:t xml:space="preserve">Trade in goods – in real terms, September 2022 </w:t>
            </w:r>
          </w:p>
        </w:tc>
        <w:tc>
          <w:tcPr>
            <w:tcW w:w="3543" w:type="dxa"/>
            <w:tcBorders>
              <w:bottom w:val="single" w:sz="4" w:space="0" w:color="auto"/>
            </w:tcBorders>
          </w:tcPr>
          <w:p w14:paraId="5A2593BF" w14:textId="77777777" w:rsidR="007D1395" w:rsidRPr="006C2117" w:rsidRDefault="007D1395" w:rsidP="00446344">
            <w:pPr>
              <w:pStyle w:val="Naslov31"/>
            </w:pPr>
          </w:p>
        </w:tc>
      </w:tr>
      <w:tr w:rsidR="007D1395" w14:paraId="5E332AAD" w14:textId="77777777" w:rsidTr="00446344">
        <w:trPr>
          <w:trHeight w:val="1134"/>
        </w:trPr>
        <w:tc>
          <w:tcPr>
            <w:tcW w:w="4982" w:type="dxa"/>
            <w:tcBorders>
              <w:top w:val="single" w:sz="4" w:space="0" w:color="auto"/>
            </w:tcBorders>
            <w:tcMar>
              <w:left w:w="0" w:type="dxa"/>
            </w:tcMar>
          </w:tcPr>
          <w:p w14:paraId="522E79C6" w14:textId="6B3FB5E8" w:rsidR="007D1395" w:rsidRDefault="00FC1A29" w:rsidP="00446344">
            <w:pPr>
              <w:pStyle w:val="Odstavekseznama"/>
              <w:ind w:left="0"/>
            </w:pPr>
            <w:r>
              <w:rPr>
                <w:noProof/>
              </w:rPr>
              <w:drawing>
                <wp:inline distT="0" distB="0" distL="0" distR="0" wp14:anchorId="4C2606E8" wp14:editId="5B5E8615">
                  <wp:extent cx="3085200" cy="2491200"/>
                  <wp:effectExtent l="0" t="0" r="1270" b="444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5200" cy="2491200"/>
                          </a:xfrm>
                          <a:prstGeom prst="rect">
                            <a:avLst/>
                          </a:prstGeom>
                          <a:noFill/>
                        </pic:spPr>
                      </pic:pic>
                    </a:graphicData>
                  </a:graphic>
                </wp:inline>
              </w:drawing>
            </w:r>
          </w:p>
          <w:p w14:paraId="5C02802A" w14:textId="77777777" w:rsidR="007D1395" w:rsidRDefault="007D1395" w:rsidP="00446344">
            <w:pPr>
              <w:pStyle w:val="Odstavekseznama"/>
              <w:ind w:left="0"/>
            </w:pPr>
          </w:p>
        </w:tc>
        <w:tc>
          <w:tcPr>
            <w:tcW w:w="4657" w:type="dxa"/>
            <w:gridSpan w:val="2"/>
            <w:tcBorders>
              <w:top w:val="single" w:sz="4" w:space="0" w:color="auto"/>
            </w:tcBorders>
            <w:tcMar>
              <w:left w:w="284" w:type="dxa"/>
            </w:tcMar>
          </w:tcPr>
          <w:p w14:paraId="66FB9FED" w14:textId="286B17FC" w:rsidR="007D1395" w:rsidRPr="00B719AF" w:rsidRDefault="007D1395" w:rsidP="00446344">
            <w:pPr>
              <w:rPr>
                <w:b/>
                <w:bCs/>
              </w:rPr>
            </w:pPr>
            <w:r>
              <w:rPr>
                <w:b/>
              </w:rPr>
              <w:t>Trade with EU Member States</w:t>
            </w:r>
            <w:r>
              <w:rPr>
                <w:rStyle w:val="Sprotnaopomba-sklic"/>
                <w:b/>
                <w:bCs/>
              </w:rPr>
              <w:footnoteReference w:id="3"/>
            </w:r>
            <w:r>
              <w:rPr>
                <w:b/>
              </w:rPr>
              <w:t xml:space="preserve"> increased quarter-on-quarter in the third quarter; sentiment in export-oriented sectors deteriorated further in October.</w:t>
            </w:r>
            <w:r>
              <w:t xml:space="preserve"> Amid considerable monthly fluctuations, real exports of goods to EU Member States rose by 2.6% compared to the previous quarter, while real imports of goods from EU Member States remained at the level reached (seasonally adjusted). Year-on-year growth in trade with EU Member States remained high in the third quarter (exports 8.5%, imports 0.5%). The high level of uncertainty in the international environment has had a significant impact on sentiment in export-oriented activities in recent months, as export orders continued to decline in October, reaching the lowest level since the end of 2020. According to the survey data, companies expect their competitive position in EU and non-EU markets to deteriorate in the last quarter and the volume of new orders to decline further. </w:t>
            </w:r>
          </w:p>
        </w:tc>
      </w:tr>
    </w:tbl>
    <w:p w14:paraId="0A03C39E" w14:textId="77777777" w:rsidR="007D1395" w:rsidRDefault="007D1395">
      <w:pPr>
        <w:spacing w:after="160" w:line="259" w:lineRule="auto"/>
        <w:jc w:val="left"/>
      </w:pPr>
    </w:p>
    <w:p w14:paraId="4FC7ECF7" w14:textId="14AE3422" w:rsidR="006C6A50" w:rsidRDefault="006C6A50">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CD4323" w:rsidRPr="006C2117" w14:paraId="15ECC7B8" w14:textId="77777777" w:rsidTr="00446344">
        <w:trPr>
          <w:trHeight w:val="207"/>
        </w:trPr>
        <w:tc>
          <w:tcPr>
            <w:tcW w:w="6096" w:type="dxa"/>
            <w:gridSpan w:val="2"/>
            <w:tcBorders>
              <w:bottom w:val="single" w:sz="4" w:space="0" w:color="auto"/>
            </w:tcBorders>
            <w:tcMar>
              <w:left w:w="0" w:type="dxa"/>
            </w:tcMar>
          </w:tcPr>
          <w:p w14:paraId="33950586" w14:textId="7A8C06AD" w:rsidR="00CD4323" w:rsidRPr="006C2117" w:rsidRDefault="00CD4323" w:rsidP="00446344">
            <w:pPr>
              <w:pStyle w:val="Naslov31"/>
              <w:jc w:val="left"/>
            </w:pPr>
            <w:r>
              <w:lastRenderedPageBreak/>
              <w:t>Number of registered unemployed persons, October 2022</w:t>
            </w:r>
          </w:p>
        </w:tc>
        <w:tc>
          <w:tcPr>
            <w:tcW w:w="3543" w:type="dxa"/>
            <w:tcBorders>
              <w:bottom w:val="single" w:sz="4" w:space="0" w:color="auto"/>
            </w:tcBorders>
          </w:tcPr>
          <w:p w14:paraId="7701AA3C" w14:textId="77777777" w:rsidR="00CD4323" w:rsidRPr="006C2117" w:rsidRDefault="00CD4323" w:rsidP="00446344">
            <w:pPr>
              <w:pStyle w:val="Naslov31"/>
            </w:pPr>
          </w:p>
        </w:tc>
      </w:tr>
      <w:tr w:rsidR="00CD4323" w:rsidRPr="00DF4F0B" w14:paraId="792C562F" w14:textId="77777777" w:rsidTr="00446344">
        <w:trPr>
          <w:trHeight w:val="1134"/>
        </w:trPr>
        <w:tc>
          <w:tcPr>
            <w:tcW w:w="4982" w:type="dxa"/>
            <w:tcBorders>
              <w:top w:val="single" w:sz="4" w:space="0" w:color="auto"/>
            </w:tcBorders>
            <w:tcMar>
              <w:left w:w="0" w:type="dxa"/>
            </w:tcMar>
          </w:tcPr>
          <w:p w14:paraId="37B6A481" w14:textId="68BCC344" w:rsidR="00CD4323" w:rsidRDefault="00E56529" w:rsidP="00446344">
            <w:pPr>
              <w:pStyle w:val="Odstavekseznama"/>
              <w:ind w:left="0"/>
            </w:pPr>
            <w:r>
              <w:rPr>
                <w:noProof/>
              </w:rPr>
              <w:drawing>
                <wp:inline distT="0" distB="0" distL="0" distR="0" wp14:anchorId="780A582C" wp14:editId="2C9BEBE2">
                  <wp:extent cx="3092400" cy="25236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00" cy="2523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A0E1445" w14:textId="6A6D3326" w:rsidR="00CD4323" w:rsidRPr="00DF4F0B" w:rsidRDefault="00754F0A" w:rsidP="00446344">
            <w:r>
              <w:rPr>
                <w:b/>
                <w:color w:val="000000" w:themeColor="text1"/>
              </w:rPr>
              <w:t>According to seasonally adjusted data, the decline in the number of registered unemployed was similar as in previous months (-1.2%).</w:t>
            </w:r>
            <w:r>
              <w:rPr>
                <w:color w:val="000000" w:themeColor="text1"/>
              </w:rPr>
              <w:t xml:space="preserve"> According to original data, 52,991 persons were unemployed at the end of October, which is 1.8% more than at the end of September. This is mainly due to seasonal trends related to a higher inflow of first-time job seekers into unemployment. Year</w:t>
            </w:r>
            <w:r w:rsidR="007209FE">
              <w:rPr>
                <w:color w:val="000000" w:themeColor="text1"/>
              </w:rPr>
              <w:t>-</w:t>
            </w:r>
            <w:r>
              <w:rPr>
                <w:color w:val="000000" w:themeColor="text1"/>
              </w:rPr>
              <w:t>on</w:t>
            </w:r>
            <w:r w:rsidR="007209FE">
              <w:rPr>
                <w:color w:val="000000" w:themeColor="text1"/>
              </w:rPr>
              <w:t>-</w:t>
            </w:r>
            <w:r>
              <w:rPr>
                <w:color w:val="000000" w:themeColor="text1"/>
              </w:rPr>
              <w:t>year, unemployment was down 20.5%. Under conditions of high demand for labour, which is also reflected in the high vacancy rate, the number of long-term unemployed has also been declining since May last year – their number was almost a third lower year-on-year in October. The number of unemployed people over 50, who, like the long-term unemployed, are harder-to-place, is also declining – in October, their number was a good fifth lower than a year ago.</w:t>
            </w:r>
          </w:p>
        </w:tc>
      </w:tr>
    </w:tbl>
    <w:p w14:paraId="1E550D16" w14:textId="77777777" w:rsidR="00CD4323" w:rsidRDefault="00CD4323">
      <w:pPr>
        <w:spacing w:after="160" w:line="259" w:lineRule="auto"/>
        <w:jc w:val="left"/>
      </w:pPr>
    </w:p>
    <w:p w14:paraId="35E6984F" w14:textId="77777777" w:rsidR="00C92EFE" w:rsidRDefault="00C92EFE">
      <w:pPr>
        <w:spacing w:after="160" w:line="259" w:lineRule="auto"/>
        <w:jc w:val="left"/>
      </w:pPr>
    </w:p>
    <w:tbl>
      <w:tblPr>
        <w:tblStyle w:val="Tabelamrea"/>
        <w:tblW w:w="9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0"/>
      </w:tblGrid>
      <w:tr w:rsidR="00B719AF" w:rsidRPr="00B719AF" w14:paraId="30911DD2" w14:textId="77777777" w:rsidTr="22246B4F">
        <w:trPr>
          <w:trHeight w:val="207"/>
        </w:trPr>
        <w:tc>
          <w:tcPr>
            <w:tcW w:w="6096" w:type="dxa"/>
            <w:gridSpan w:val="2"/>
            <w:tcBorders>
              <w:bottom w:val="single" w:sz="4" w:space="0" w:color="auto"/>
            </w:tcBorders>
            <w:tcMar>
              <w:left w:w="0" w:type="dxa"/>
            </w:tcMar>
          </w:tcPr>
          <w:p w14:paraId="7A713E3B" w14:textId="12C62554" w:rsidR="00B719AF" w:rsidRPr="00B719AF" w:rsidRDefault="00B719AF" w:rsidP="22246B4F">
            <w:pPr>
              <w:jc w:val="left"/>
              <w:rPr>
                <w:b/>
                <w:bCs/>
              </w:rPr>
            </w:pPr>
            <w:r>
              <w:rPr>
                <w:b/>
              </w:rPr>
              <w:t xml:space="preserve">Average gross wage per employee, August 2022 </w:t>
            </w:r>
          </w:p>
        </w:tc>
        <w:tc>
          <w:tcPr>
            <w:tcW w:w="3540" w:type="dxa"/>
            <w:tcBorders>
              <w:bottom w:val="single" w:sz="4" w:space="0" w:color="auto"/>
            </w:tcBorders>
          </w:tcPr>
          <w:p w14:paraId="656D638E" w14:textId="77777777" w:rsidR="00B719AF" w:rsidRPr="00B719AF" w:rsidRDefault="00B719AF" w:rsidP="00B719AF">
            <w:pPr>
              <w:rPr>
                <w:b/>
              </w:rPr>
            </w:pPr>
          </w:p>
        </w:tc>
      </w:tr>
      <w:tr w:rsidR="00B719AF" w:rsidRPr="00B719AF" w14:paraId="64497F4E" w14:textId="77777777" w:rsidTr="22246B4F">
        <w:trPr>
          <w:trHeight w:val="1134"/>
        </w:trPr>
        <w:tc>
          <w:tcPr>
            <w:tcW w:w="4982" w:type="dxa"/>
            <w:tcBorders>
              <w:top w:val="single" w:sz="4" w:space="0" w:color="auto"/>
            </w:tcBorders>
            <w:tcMar>
              <w:left w:w="0" w:type="dxa"/>
            </w:tcMar>
          </w:tcPr>
          <w:p w14:paraId="4A31D5F5" w14:textId="523455D0" w:rsidR="00B719AF" w:rsidRPr="00B719AF" w:rsidRDefault="009F0B7C" w:rsidP="00B719AF">
            <w:pPr>
              <w:contextualSpacing/>
            </w:pPr>
            <w:r>
              <w:rPr>
                <w:noProof/>
              </w:rPr>
              <w:drawing>
                <wp:inline distT="0" distB="0" distL="0" distR="0" wp14:anchorId="1789D11A" wp14:editId="3CCCED12">
                  <wp:extent cx="3096000" cy="2530800"/>
                  <wp:effectExtent l="0" t="0" r="0" b="317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4" w:type="dxa"/>
            <w:gridSpan w:val="2"/>
            <w:tcBorders>
              <w:top w:val="single" w:sz="4" w:space="0" w:color="auto"/>
            </w:tcBorders>
            <w:tcMar>
              <w:left w:w="284" w:type="dxa"/>
            </w:tcMar>
          </w:tcPr>
          <w:p w14:paraId="784E0602" w14:textId="640D7E92" w:rsidR="00B719AF" w:rsidRPr="00D61D56" w:rsidRDefault="003853C9" w:rsidP="00B719AF">
            <w:pPr>
              <w:rPr>
                <w:bCs/>
              </w:rPr>
            </w:pPr>
            <w:bookmarkStart w:id="2" w:name="_Hlk117767978"/>
            <w:r>
              <w:rPr>
                <w:b/>
              </w:rPr>
              <w:t>Amid high inflation, the average gross wage fell by 4.8% year-on-year in real terms in August; due to the base effect of last year, the decline was more pronounced in the public sector (-7.2%) than in the private sector (-3.4%).</w:t>
            </w:r>
            <w:r>
              <w:t xml:space="preserve"> In the private sector, the year-on-year decline was somewhat smaller in real terms than in July, but stronger than in other months this year. In the public sector, however, the year-on-year decline in real terms was smaller than in previous months, which is related to the year-on-year effect of the cessation of payment of most COVID-19 bonuses in July last year.</w:t>
            </w:r>
            <w:bookmarkEnd w:id="2"/>
          </w:p>
        </w:tc>
      </w:tr>
    </w:tbl>
    <w:p w14:paraId="70A9BB82" w14:textId="77777777" w:rsidR="00F24273" w:rsidRDefault="00F24273" w:rsidP="0005322C">
      <w:pPr>
        <w:spacing w:after="160" w:line="259" w:lineRule="auto"/>
        <w:jc w:val="left"/>
      </w:pPr>
    </w:p>
    <w:p w14:paraId="5B3734C7" w14:textId="1BBCA582" w:rsidR="00296BEC" w:rsidRDefault="00296BEC" w:rsidP="00E518F8">
      <w:pPr>
        <w:spacing w:after="160" w:line="259" w:lineRule="auto"/>
        <w:jc w:val="left"/>
      </w:pPr>
    </w:p>
    <w:p w14:paraId="6FF0AB2E" w14:textId="77777777" w:rsidR="005B4C57" w:rsidRDefault="005B4C57" w:rsidP="00363E63">
      <w:pPr>
        <w:tabs>
          <w:tab w:val="left" w:pos="580"/>
        </w:tabs>
      </w:pPr>
    </w:p>
    <w:p w14:paraId="22475C0D" w14:textId="77777777" w:rsidR="00FE7254" w:rsidRPr="00FE7254" w:rsidRDefault="00FE7254" w:rsidP="00FE7254">
      <w:pPr>
        <w:sectPr w:rsidR="00FE7254" w:rsidRPr="00FE7254" w:rsidSect="00363E63">
          <w:footerReference w:type="default" r:id="rId17"/>
          <w:headerReference w:type="first" r:id="rId18"/>
          <w:footerReference w:type="first" r:id="rId19"/>
          <w:type w:val="continuous"/>
          <w:pgSz w:w="11906" w:h="16838"/>
          <w:pgMar w:top="1134" w:right="1134" w:bottom="1021" w:left="1134" w:header="709" w:footer="397" w:gutter="0"/>
          <w:cols w:space="708"/>
          <w:titlePg/>
          <w:docGrid w:linePitch="360"/>
        </w:sectPr>
      </w:pPr>
    </w:p>
    <w:p w14:paraId="26A312A6" w14:textId="6904024A" w:rsidR="002E69B6" w:rsidRPr="00887D7E" w:rsidRDefault="00D45AB7" w:rsidP="00C26C8D">
      <w:pPr>
        <w:tabs>
          <w:tab w:val="left" w:pos="580"/>
        </w:tabs>
      </w:pPr>
      <w:r w:rsidRPr="00D45AB7">
        <w:rPr>
          <w:noProof/>
        </w:rPr>
        <w:lastRenderedPageBreak/>
        <w:drawing>
          <wp:inline distT="0" distB="0" distL="0" distR="0" wp14:anchorId="2D4E984C" wp14:editId="692D82B0">
            <wp:extent cx="6120130" cy="8386819"/>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8386819"/>
                    </a:xfrm>
                    <a:prstGeom prst="rect">
                      <a:avLst/>
                    </a:prstGeom>
                    <a:noFill/>
                    <a:ln>
                      <a:noFill/>
                    </a:ln>
                  </pic:spPr>
                </pic:pic>
              </a:graphicData>
            </a:graphic>
          </wp:inline>
        </w:drawing>
      </w:r>
    </w:p>
    <w:sectPr w:rsidR="002E69B6" w:rsidRPr="00887D7E" w:rsidSect="00363E63">
      <w:headerReference w:type="default" r:id="rId21"/>
      <w:footerReference w:type="default" r:id="rId22"/>
      <w:pgSz w:w="11906" w:h="16838"/>
      <w:pgMar w:top="1134" w:right="1134" w:bottom="1021" w:left="1134" w:header="709" w:footer="39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6504D32" w16cex:dateUtc="2022-11-02T13:11:00Z"/>
  <w16cex:commentExtensible w16cex:durableId="271364DF" w16cex:dateUtc="2022-11-07T10:05:00Z"/>
  <w16cex:commentExtensible w16cex:durableId="3336BB5D" w16cex:dateUtc="2022-11-07T12:17:02.822Z"/>
  <w16cex:commentExtensible w16cex:durableId="3D9B07F3" w16cex:dateUtc="2022-11-07T12:23:01.949Z"/>
  <w16cex:commentExtensible w16cex:durableId="55321A0E" w16cex:dateUtc="2022-11-07T12:24:48.472Z"/>
  <w16cex:commentExtensible w16cex:durableId="1D5436E0" w16cex:dateUtc="2022-11-07T12:38:04.169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C6461" w14:textId="77777777" w:rsidR="00B66CDF" w:rsidRDefault="00B66CDF" w:rsidP="0063497B">
      <w:pPr>
        <w:spacing w:line="240" w:lineRule="auto"/>
      </w:pPr>
      <w:r>
        <w:separator/>
      </w:r>
    </w:p>
  </w:endnote>
  <w:endnote w:type="continuationSeparator" w:id="0">
    <w:p w14:paraId="0C040EC9" w14:textId="77777777" w:rsidR="00B66CDF" w:rsidRDefault="00B66CDF" w:rsidP="0063497B">
      <w:pPr>
        <w:spacing w:line="240" w:lineRule="auto"/>
      </w:pPr>
      <w:r>
        <w:continuationSeparator/>
      </w:r>
    </w:p>
  </w:endnote>
  <w:endnote w:type="continuationNotice" w:id="1">
    <w:p w14:paraId="36648A88" w14:textId="77777777" w:rsidR="00B66CDF" w:rsidRDefault="00B66CD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6BAC8C99" w:rsidR="00446344" w:rsidRPr="00363E63" w:rsidRDefault="00446344" w:rsidP="00363E63">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b w:val="0"/>
        <w:sz w:val="18"/>
      </w:rPr>
      <w:tab/>
    </w:r>
    <w:r>
      <w:rPr>
        <w:sz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sidR="00DD57A9">
          <w:rPr>
            <w:noProof/>
            <w:sz w:val="18"/>
          </w:rPr>
          <w:t>5</w:t>
        </w:r>
        <w:r w:rsidRPr="00363E63">
          <w:rPr>
            <w:color w:val="2B579A"/>
            <w:sz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706F0C0C" w:rsidR="00446344" w:rsidRPr="00363E63" w:rsidRDefault="00446344" w:rsidP="00363E63">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b w:val="0"/>
        <w:sz w:val="18"/>
      </w:rPr>
      <w:tab/>
    </w:r>
    <w:r>
      <w:rPr>
        <w:sz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Pr>
            <w:noProof/>
            <w:sz w:val="18"/>
          </w:rPr>
          <w:t>1</w:t>
        </w:r>
        <w:r w:rsidRPr="00363E63">
          <w:rPr>
            <w:color w:val="2B579A"/>
            <w:sz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446344" w:rsidRPr="00C26C8D" w:rsidRDefault="00446344" w:rsidP="00C26C8D">
    <w:pPr>
      <w:pStyle w:val="Naslov31"/>
      <w:tabs>
        <w:tab w:val="right" w:pos="9638"/>
      </w:tabs>
      <w:jc w:val="left"/>
      <w:rPr>
        <w:b w:val="0"/>
        <w:sz w:val="18"/>
        <w:szCs w:val="18"/>
      </w:rPr>
    </w:pPr>
    <w:r>
      <w:rPr>
        <w:b w:val="0"/>
        <w:sz w:val="18"/>
      </w:rPr>
      <w:t>The table format accessible to screen reader users can be found on the IMAD website among the appendices to the current graphs of the week (Selected macroeconomic indicators for Slovenia).</w:t>
    </w:r>
  </w:p>
  <w:p w14:paraId="67C0D3BB" w14:textId="77777777" w:rsidR="00446344" w:rsidRPr="00C26C8D" w:rsidRDefault="00446344" w:rsidP="00C26C8D">
    <w:pPr>
      <w:pStyle w:val="Naslov31"/>
      <w:tabs>
        <w:tab w:val="right" w:pos="9638"/>
      </w:tabs>
      <w:jc w:val="left"/>
      <w:rPr>
        <w:b w:val="0"/>
        <w:sz w:val="18"/>
        <w:szCs w:val="18"/>
      </w:rPr>
    </w:pPr>
  </w:p>
  <w:p w14:paraId="6B87A005" w14:textId="77777777" w:rsidR="00446344" w:rsidRPr="00363E63" w:rsidRDefault="00446344" w:rsidP="00C26C8D">
    <w:pPr>
      <w:pStyle w:val="Naslov31"/>
      <w:tabs>
        <w:tab w:val="right" w:pos="9638"/>
      </w:tabs>
      <w:jc w:val="left"/>
      <w:rPr>
        <w:b w:val="0"/>
        <w:sz w:val="18"/>
        <w:szCs w:val="18"/>
      </w:rPr>
    </w:pPr>
    <w:r>
      <w:rPr>
        <w:sz w:val="18"/>
      </w:rPr>
      <w:t xml:space="preserve">More information: </w:t>
    </w:r>
    <w:r>
      <w:rPr>
        <w:b w:val="0"/>
        <w:sz w:val="18"/>
      </w:rPr>
      <w:t>phone: +386 1 478 10 04, e-mail: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F57EB" w14:textId="77777777" w:rsidR="00B66CDF" w:rsidRDefault="00B66CDF" w:rsidP="0063497B">
      <w:pPr>
        <w:spacing w:line="240" w:lineRule="auto"/>
      </w:pPr>
      <w:r>
        <w:separator/>
      </w:r>
    </w:p>
  </w:footnote>
  <w:footnote w:type="continuationSeparator" w:id="0">
    <w:p w14:paraId="76674441" w14:textId="77777777" w:rsidR="00B66CDF" w:rsidRDefault="00B66CDF" w:rsidP="0063497B">
      <w:pPr>
        <w:spacing w:line="240" w:lineRule="auto"/>
      </w:pPr>
      <w:r>
        <w:continuationSeparator/>
      </w:r>
    </w:p>
  </w:footnote>
  <w:footnote w:type="continuationNotice" w:id="1">
    <w:p w14:paraId="40E24666" w14:textId="77777777" w:rsidR="00B66CDF" w:rsidRDefault="00B66CDF">
      <w:pPr>
        <w:spacing w:line="240" w:lineRule="auto"/>
      </w:pPr>
    </w:p>
  </w:footnote>
  <w:footnote w:id="2">
    <w:p w14:paraId="3D995C04" w14:textId="77777777" w:rsidR="00446344" w:rsidRDefault="00446344" w:rsidP="007D1395">
      <w:pPr>
        <w:pStyle w:val="Sprotnaopomba-besedilo"/>
      </w:pPr>
      <w:r>
        <w:rPr>
          <w:rStyle w:val="Sprotnaopomba-sklic"/>
        </w:rPr>
        <w:footnoteRef/>
      </w:r>
      <w:r>
        <w:t xml:space="preserve"> </w:t>
      </w:r>
      <w:r>
        <w:rPr>
          <w:rStyle w:val="normaltextrun"/>
        </w:rPr>
        <w:t>The exception is the sale of automotive fuel, where turnover in the third quarter was almost 80% higher year-on-year, which is significantly more than can be seen from the data on the volume of petroleum products sold.</w:t>
      </w:r>
    </w:p>
  </w:footnote>
  <w:footnote w:id="3">
    <w:p w14:paraId="31791AB9" w14:textId="77777777" w:rsidR="00446344" w:rsidRDefault="00446344" w:rsidP="007D1395">
      <w:pPr>
        <w:pStyle w:val="Sprotnaopomba-besedilo"/>
      </w:pPr>
      <w:r>
        <w:rPr>
          <w:rStyle w:val="Sprotnaopomba-sklic"/>
        </w:rPr>
        <w:footnoteRef/>
      </w:r>
      <w:r>
        <w:t xml:space="preserve"> According to the external trade statistics by SURS. Deflation and seasonal adjustment by IMAD.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7698DD3D" w:rsidR="00446344" w:rsidRDefault="00043303" w:rsidP="00652795">
    <w:pPr>
      <w:jc w:val="right"/>
    </w:pPr>
    <w:r w:rsidRPr="00763932">
      <w:rPr>
        <w:noProof/>
      </w:rPr>
      <w:drawing>
        <wp:anchor distT="0" distB="0" distL="114300" distR="114300" simplePos="0" relativeHeight="251659264" behindDoc="0" locked="0" layoutInCell="1" allowOverlap="1" wp14:anchorId="616C668B" wp14:editId="2CBAB00E">
          <wp:simplePos x="0" y="0"/>
          <wp:positionH relativeFrom="column">
            <wp:posOffset>-340241</wp:posOffset>
          </wp:positionH>
          <wp:positionV relativeFrom="paragraph">
            <wp:posOffset>153035</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446344">
      <w:t>7 November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446344" w:rsidRPr="00C26C8D" w:rsidRDefault="00446344" w:rsidP="00C26C8D">
    <w:pPr>
      <w:pStyle w:val="Glava"/>
      <w:rPr>
        <w:b/>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038D"/>
    <w:rsid w:val="00001002"/>
    <w:rsid w:val="00004D56"/>
    <w:rsid w:val="00005E4B"/>
    <w:rsid w:val="000063F3"/>
    <w:rsid w:val="00014A64"/>
    <w:rsid w:val="00016923"/>
    <w:rsid w:val="000172FC"/>
    <w:rsid w:val="0002391A"/>
    <w:rsid w:val="00024EF0"/>
    <w:rsid w:val="000257A3"/>
    <w:rsid w:val="00026AAA"/>
    <w:rsid w:val="000300E3"/>
    <w:rsid w:val="00030B4F"/>
    <w:rsid w:val="000328BF"/>
    <w:rsid w:val="00036F96"/>
    <w:rsid w:val="000407E8"/>
    <w:rsid w:val="00041021"/>
    <w:rsid w:val="0004105E"/>
    <w:rsid w:val="0004116E"/>
    <w:rsid w:val="00043303"/>
    <w:rsid w:val="0004410D"/>
    <w:rsid w:val="00046D89"/>
    <w:rsid w:val="00052107"/>
    <w:rsid w:val="0005322C"/>
    <w:rsid w:val="00054458"/>
    <w:rsid w:val="00055BD4"/>
    <w:rsid w:val="00056250"/>
    <w:rsid w:val="00056990"/>
    <w:rsid w:val="00061F03"/>
    <w:rsid w:val="00062CA9"/>
    <w:rsid w:val="00062E0D"/>
    <w:rsid w:val="00063442"/>
    <w:rsid w:val="00064E87"/>
    <w:rsid w:val="00065065"/>
    <w:rsid w:val="00065B72"/>
    <w:rsid w:val="00066060"/>
    <w:rsid w:val="00070313"/>
    <w:rsid w:val="000703C7"/>
    <w:rsid w:val="00070B6E"/>
    <w:rsid w:val="00071AD8"/>
    <w:rsid w:val="00073C2B"/>
    <w:rsid w:val="00077F13"/>
    <w:rsid w:val="000802F5"/>
    <w:rsid w:val="000814B2"/>
    <w:rsid w:val="00083B7F"/>
    <w:rsid w:val="00085356"/>
    <w:rsid w:val="00087E6A"/>
    <w:rsid w:val="00092592"/>
    <w:rsid w:val="00096101"/>
    <w:rsid w:val="00097DD5"/>
    <w:rsid w:val="000A3AC0"/>
    <w:rsid w:val="000A4261"/>
    <w:rsid w:val="000A5A42"/>
    <w:rsid w:val="000A7860"/>
    <w:rsid w:val="000A7BDC"/>
    <w:rsid w:val="000B0215"/>
    <w:rsid w:val="000B1ACC"/>
    <w:rsid w:val="000B2332"/>
    <w:rsid w:val="000B2627"/>
    <w:rsid w:val="000B308B"/>
    <w:rsid w:val="000B4941"/>
    <w:rsid w:val="000B5B96"/>
    <w:rsid w:val="000C3382"/>
    <w:rsid w:val="000C3FE8"/>
    <w:rsid w:val="000C450B"/>
    <w:rsid w:val="000C5DFC"/>
    <w:rsid w:val="000C6234"/>
    <w:rsid w:val="000D3F8B"/>
    <w:rsid w:val="000D4661"/>
    <w:rsid w:val="000D6B56"/>
    <w:rsid w:val="000D7845"/>
    <w:rsid w:val="000D7CBC"/>
    <w:rsid w:val="000E0B03"/>
    <w:rsid w:val="000E1FC4"/>
    <w:rsid w:val="000F1A79"/>
    <w:rsid w:val="000F5315"/>
    <w:rsid w:val="000F63ED"/>
    <w:rsid w:val="001009D0"/>
    <w:rsid w:val="00101E8B"/>
    <w:rsid w:val="00103653"/>
    <w:rsid w:val="00110B3C"/>
    <w:rsid w:val="00111DFE"/>
    <w:rsid w:val="00112B3E"/>
    <w:rsid w:val="00115501"/>
    <w:rsid w:val="00115E8D"/>
    <w:rsid w:val="00115FC5"/>
    <w:rsid w:val="00116668"/>
    <w:rsid w:val="00120162"/>
    <w:rsid w:val="00123A5A"/>
    <w:rsid w:val="00123CAF"/>
    <w:rsid w:val="00123D52"/>
    <w:rsid w:val="001255CD"/>
    <w:rsid w:val="0012725B"/>
    <w:rsid w:val="00127822"/>
    <w:rsid w:val="00131206"/>
    <w:rsid w:val="0013156D"/>
    <w:rsid w:val="00133E20"/>
    <w:rsid w:val="00133EFF"/>
    <w:rsid w:val="00137BB4"/>
    <w:rsid w:val="0014161A"/>
    <w:rsid w:val="00145808"/>
    <w:rsid w:val="00150890"/>
    <w:rsid w:val="00150D0F"/>
    <w:rsid w:val="0016111E"/>
    <w:rsid w:val="00161807"/>
    <w:rsid w:val="00162E99"/>
    <w:rsid w:val="00167096"/>
    <w:rsid w:val="001710B9"/>
    <w:rsid w:val="00175B27"/>
    <w:rsid w:val="00176407"/>
    <w:rsid w:val="00181CF5"/>
    <w:rsid w:val="00182319"/>
    <w:rsid w:val="00182D5E"/>
    <w:rsid w:val="00183D75"/>
    <w:rsid w:val="001847BE"/>
    <w:rsid w:val="00187D02"/>
    <w:rsid w:val="00187DC1"/>
    <w:rsid w:val="001908FA"/>
    <w:rsid w:val="00190B5F"/>
    <w:rsid w:val="0019138D"/>
    <w:rsid w:val="00192B58"/>
    <w:rsid w:val="00195170"/>
    <w:rsid w:val="0019522D"/>
    <w:rsid w:val="00196C57"/>
    <w:rsid w:val="00196F7A"/>
    <w:rsid w:val="001A0B7D"/>
    <w:rsid w:val="001A0C6A"/>
    <w:rsid w:val="001A0C98"/>
    <w:rsid w:val="001A3E47"/>
    <w:rsid w:val="001A44D4"/>
    <w:rsid w:val="001A587F"/>
    <w:rsid w:val="001A7DB1"/>
    <w:rsid w:val="001B19DD"/>
    <w:rsid w:val="001B475E"/>
    <w:rsid w:val="001B535B"/>
    <w:rsid w:val="001B6AE7"/>
    <w:rsid w:val="001B7402"/>
    <w:rsid w:val="001B754A"/>
    <w:rsid w:val="001C03A0"/>
    <w:rsid w:val="001C2D69"/>
    <w:rsid w:val="001C3E55"/>
    <w:rsid w:val="001C573B"/>
    <w:rsid w:val="001C63A6"/>
    <w:rsid w:val="001D00C6"/>
    <w:rsid w:val="001D1DF5"/>
    <w:rsid w:val="001D2917"/>
    <w:rsid w:val="001D3E77"/>
    <w:rsid w:val="001D6793"/>
    <w:rsid w:val="001D67CE"/>
    <w:rsid w:val="001D76BE"/>
    <w:rsid w:val="001E3587"/>
    <w:rsid w:val="001E3956"/>
    <w:rsid w:val="001E4A09"/>
    <w:rsid w:val="001E66B1"/>
    <w:rsid w:val="001E6B1A"/>
    <w:rsid w:val="001F43C7"/>
    <w:rsid w:val="001F4E8F"/>
    <w:rsid w:val="001F51CD"/>
    <w:rsid w:val="001F5764"/>
    <w:rsid w:val="0020057C"/>
    <w:rsid w:val="00200D3A"/>
    <w:rsid w:val="002040EA"/>
    <w:rsid w:val="00205183"/>
    <w:rsid w:val="0020683D"/>
    <w:rsid w:val="00207774"/>
    <w:rsid w:val="00213015"/>
    <w:rsid w:val="00215DA0"/>
    <w:rsid w:val="0022245A"/>
    <w:rsid w:val="002229E0"/>
    <w:rsid w:val="00222F75"/>
    <w:rsid w:val="00224B63"/>
    <w:rsid w:val="00224E92"/>
    <w:rsid w:val="0022644C"/>
    <w:rsid w:val="00226C04"/>
    <w:rsid w:val="0023585B"/>
    <w:rsid w:val="002362D3"/>
    <w:rsid w:val="00236656"/>
    <w:rsid w:val="002374F8"/>
    <w:rsid w:val="0024119A"/>
    <w:rsid w:val="00242C71"/>
    <w:rsid w:val="0024323E"/>
    <w:rsid w:val="00243593"/>
    <w:rsid w:val="0024378B"/>
    <w:rsid w:val="002461D2"/>
    <w:rsid w:val="00246CF1"/>
    <w:rsid w:val="002511CF"/>
    <w:rsid w:val="00252C70"/>
    <w:rsid w:val="00252E25"/>
    <w:rsid w:val="00253AF0"/>
    <w:rsid w:val="002551D9"/>
    <w:rsid w:val="00255F95"/>
    <w:rsid w:val="00262DFF"/>
    <w:rsid w:val="0026341B"/>
    <w:rsid w:val="0026509A"/>
    <w:rsid w:val="0027134B"/>
    <w:rsid w:val="00271747"/>
    <w:rsid w:val="0027286B"/>
    <w:rsid w:val="00274D3F"/>
    <w:rsid w:val="00286348"/>
    <w:rsid w:val="0028665C"/>
    <w:rsid w:val="00290CA7"/>
    <w:rsid w:val="00290E5B"/>
    <w:rsid w:val="00290FE7"/>
    <w:rsid w:val="00291679"/>
    <w:rsid w:val="0029266D"/>
    <w:rsid w:val="0029405F"/>
    <w:rsid w:val="00294675"/>
    <w:rsid w:val="00296BEC"/>
    <w:rsid w:val="002A2EAC"/>
    <w:rsid w:val="002A62E5"/>
    <w:rsid w:val="002A6B6E"/>
    <w:rsid w:val="002A6C31"/>
    <w:rsid w:val="002B025E"/>
    <w:rsid w:val="002B058F"/>
    <w:rsid w:val="002B0B7D"/>
    <w:rsid w:val="002B0C95"/>
    <w:rsid w:val="002B113D"/>
    <w:rsid w:val="002B2825"/>
    <w:rsid w:val="002B4319"/>
    <w:rsid w:val="002B4C3A"/>
    <w:rsid w:val="002B5361"/>
    <w:rsid w:val="002B58A7"/>
    <w:rsid w:val="002B617D"/>
    <w:rsid w:val="002B67C9"/>
    <w:rsid w:val="002C1486"/>
    <w:rsid w:val="002C1BBB"/>
    <w:rsid w:val="002C2763"/>
    <w:rsid w:val="002C3028"/>
    <w:rsid w:val="002C5AFE"/>
    <w:rsid w:val="002C74C3"/>
    <w:rsid w:val="002C75CC"/>
    <w:rsid w:val="002C78B6"/>
    <w:rsid w:val="002D46EF"/>
    <w:rsid w:val="002D753B"/>
    <w:rsid w:val="002D7557"/>
    <w:rsid w:val="002D77C5"/>
    <w:rsid w:val="002E20DD"/>
    <w:rsid w:val="002E2802"/>
    <w:rsid w:val="002E3127"/>
    <w:rsid w:val="002E498F"/>
    <w:rsid w:val="002E64A4"/>
    <w:rsid w:val="002E69B6"/>
    <w:rsid w:val="002E6F0D"/>
    <w:rsid w:val="002E6FAD"/>
    <w:rsid w:val="002E7B23"/>
    <w:rsid w:val="002F00BB"/>
    <w:rsid w:val="002F0448"/>
    <w:rsid w:val="002F137A"/>
    <w:rsid w:val="002F1E94"/>
    <w:rsid w:val="002F3DDC"/>
    <w:rsid w:val="002F45CB"/>
    <w:rsid w:val="002F50F5"/>
    <w:rsid w:val="002F569D"/>
    <w:rsid w:val="003004EA"/>
    <w:rsid w:val="00301473"/>
    <w:rsid w:val="00301B51"/>
    <w:rsid w:val="00305883"/>
    <w:rsid w:val="00306274"/>
    <w:rsid w:val="00306767"/>
    <w:rsid w:val="00310734"/>
    <w:rsid w:val="00312D09"/>
    <w:rsid w:val="00313051"/>
    <w:rsid w:val="003134CD"/>
    <w:rsid w:val="003159CC"/>
    <w:rsid w:val="00321F5F"/>
    <w:rsid w:val="00325038"/>
    <w:rsid w:val="00325655"/>
    <w:rsid w:val="0032707E"/>
    <w:rsid w:val="0033042F"/>
    <w:rsid w:val="003305D2"/>
    <w:rsid w:val="00330DEB"/>
    <w:rsid w:val="00331DD6"/>
    <w:rsid w:val="003338FC"/>
    <w:rsid w:val="00333B2F"/>
    <w:rsid w:val="0034156F"/>
    <w:rsid w:val="00342F7A"/>
    <w:rsid w:val="0034385F"/>
    <w:rsid w:val="003443B1"/>
    <w:rsid w:val="00345706"/>
    <w:rsid w:val="00346E79"/>
    <w:rsid w:val="00350A64"/>
    <w:rsid w:val="003524EB"/>
    <w:rsid w:val="00353C0B"/>
    <w:rsid w:val="0035467D"/>
    <w:rsid w:val="0035658B"/>
    <w:rsid w:val="00356832"/>
    <w:rsid w:val="00360974"/>
    <w:rsid w:val="00361FAB"/>
    <w:rsid w:val="00363E63"/>
    <w:rsid w:val="003640E5"/>
    <w:rsid w:val="0036467E"/>
    <w:rsid w:val="00364A8F"/>
    <w:rsid w:val="00365D68"/>
    <w:rsid w:val="00365F1F"/>
    <w:rsid w:val="00366D68"/>
    <w:rsid w:val="0037053F"/>
    <w:rsid w:val="00371828"/>
    <w:rsid w:val="0037436E"/>
    <w:rsid w:val="00374467"/>
    <w:rsid w:val="00374B90"/>
    <w:rsid w:val="00375E9D"/>
    <w:rsid w:val="0037709E"/>
    <w:rsid w:val="00380056"/>
    <w:rsid w:val="003819C3"/>
    <w:rsid w:val="00381F22"/>
    <w:rsid w:val="003831A6"/>
    <w:rsid w:val="0038500A"/>
    <w:rsid w:val="00385029"/>
    <w:rsid w:val="003853C9"/>
    <w:rsid w:val="00386C31"/>
    <w:rsid w:val="003877A0"/>
    <w:rsid w:val="00390947"/>
    <w:rsid w:val="0039118A"/>
    <w:rsid w:val="00394109"/>
    <w:rsid w:val="00394FBC"/>
    <w:rsid w:val="00395339"/>
    <w:rsid w:val="00396859"/>
    <w:rsid w:val="003974F8"/>
    <w:rsid w:val="003A1B12"/>
    <w:rsid w:val="003A23E4"/>
    <w:rsid w:val="003A26B5"/>
    <w:rsid w:val="003A282F"/>
    <w:rsid w:val="003A49D8"/>
    <w:rsid w:val="003B14A1"/>
    <w:rsid w:val="003B55C2"/>
    <w:rsid w:val="003B76CF"/>
    <w:rsid w:val="003B7B25"/>
    <w:rsid w:val="003C0556"/>
    <w:rsid w:val="003C1005"/>
    <w:rsid w:val="003C2454"/>
    <w:rsid w:val="003C3C52"/>
    <w:rsid w:val="003C44D9"/>
    <w:rsid w:val="003C614E"/>
    <w:rsid w:val="003C6951"/>
    <w:rsid w:val="003D0FA7"/>
    <w:rsid w:val="003D1203"/>
    <w:rsid w:val="003D12A9"/>
    <w:rsid w:val="003D4B84"/>
    <w:rsid w:val="003D58DF"/>
    <w:rsid w:val="003D5C8D"/>
    <w:rsid w:val="003D75D8"/>
    <w:rsid w:val="003D7826"/>
    <w:rsid w:val="003D7D52"/>
    <w:rsid w:val="003E0230"/>
    <w:rsid w:val="003E1919"/>
    <w:rsid w:val="003E27F1"/>
    <w:rsid w:val="003E5239"/>
    <w:rsid w:val="003E5ADA"/>
    <w:rsid w:val="003E5C15"/>
    <w:rsid w:val="003E64D6"/>
    <w:rsid w:val="003E6772"/>
    <w:rsid w:val="003F30E4"/>
    <w:rsid w:val="003F4C1B"/>
    <w:rsid w:val="003F760F"/>
    <w:rsid w:val="003F76A6"/>
    <w:rsid w:val="00401154"/>
    <w:rsid w:val="00401E9F"/>
    <w:rsid w:val="00402A16"/>
    <w:rsid w:val="004038B8"/>
    <w:rsid w:val="004039B6"/>
    <w:rsid w:val="004041D4"/>
    <w:rsid w:val="00407123"/>
    <w:rsid w:val="0040719E"/>
    <w:rsid w:val="004079CD"/>
    <w:rsid w:val="00407D91"/>
    <w:rsid w:val="004123A3"/>
    <w:rsid w:val="0041409A"/>
    <w:rsid w:val="00414881"/>
    <w:rsid w:val="00414AF3"/>
    <w:rsid w:val="00415098"/>
    <w:rsid w:val="004204B9"/>
    <w:rsid w:val="004205FD"/>
    <w:rsid w:val="00420FD0"/>
    <w:rsid w:val="004255B4"/>
    <w:rsid w:val="00426DEC"/>
    <w:rsid w:val="004271E0"/>
    <w:rsid w:val="00431E69"/>
    <w:rsid w:val="00431EDD"/>
    <w:rsid w:val="00432AF1"/>
    <w:rsid w:val="00434CC7"/>
    <w:rsid w:val="004364C9"/>
    <w:rsid w:val="004368FB"/>
    <w:rsid w:val="00440CF1"/>
    <w:rsid w:val="00441823"/>
    <w:rsid w:val="00443234"/>
    <w:rsid w:val="00445954"/>
    <w:rsid w:val="00446303"/>
    <w:rsid w:val="00446344"/>
    <w:rsid w:val="0044650F"/>
    <w:rsid w:val="00452589"/>
    <w:rsid w:val="00452804"/>
    <w:rsid w:val="004533D3"/>
    <w:rsid w:val="004541AF"/>
    <w:rsid w:val="0045444B"/>
    <w:rsid w:val="00454E68"/>
    <w:rsid w:val="00455141"/>
    <w:rsid w:val="00457981"/>
    <w:rsid w:val="00460477"/>
    <w:rsid w:val="00461BCB"/>
    <w:rsid w:val="00462BA6"/>
    <w:rsid w:val="004636A5"/>
    <w:rsid w:val="00464D01"/>
    <w:rsid w:val="00464F7B"/>
    <w:rsid w:val="00467144"/>
    <w:rsid w:val="0046726B"/>
    <w:rsid w:val="00467D2C"/>
    <w:rsid w:val="004712B8"/>
    <w:rsid w:val="00472863"/>
    <w:rsid w:val="004729A1"/>
    <w:rsid w:val="00472EF9"/>
    <w:rsid w:val="0047514E"/>
    <w:rsid w:val="00477274"/>
    <w:rsid w:val="00478854"/>
    <w:rsid w:val="00480580"/>
    <w:rsid w:val="0048123F"/>
    <w:rsid w:val="00484A06"/>
    <w:rsid w:val="00485BB1"/>
    <w:rsid w:val="00485C90"/>
    <w:rsid w:val="004958DF"/>
    <w:rsid w:val="00496E7F"/>
    <w:rsid w:val="004970E5"/>
    <w:rsid w:val="00497983"/>
    <w:rsid w:val="00497D53"/>
    <w:rsid w:val="004A00F0"/>
    <w:rsid w:val="004A3049"/>
    <w:rsid w:val="004A37A6"/>
    <w:rsid w:val="004A574A"/>
    <w:rsid w:val="004A6A8D"/>
    <w:rsid w:val="004B013F"/>
    <w:rsid w:val="004B0B17"/>
    <w:rsid w:val="004B235F"/>
    <w:rsid w:val="004B2A84"/>
    <w:rsid w:val="004B2D4F"/>
    <w:rsid w:val="004B307A"/>
    <w:rsid w:val="004B3F10"/>
    <w:rsid w:val="004B4240"/>
    <w:rsid w:val="004B49B6"/>
    <w:rsid w:val="004C0A16"/>
    <w:rsid w:val="004C278D"/>
    <w:rsid w:val="004C2835"/>
    <w:rsid w:val="004C30D1"/>
    <w:rsid w:val="004D0C06"/>
    <w:rsid w:val="004D14A6"/>
    <w:rsid w:val="004D1C88"/>
    <w:rsid w:val="004D209D"/>
    <w:rsid w:val="004D2BC3"/>
    <w:rsid w:val="004D2D1C"/>
    <w:rsid w:val="004D3A0A"/>
    <w:rsid w:val="004D4230"/>
    <w:rsid w:val="004D63EF"/>
    <w:rsid w:val="004E107A"/>
    <w:rsid w:val="004E1AF2"/>
    <w:rsid w:val="004E1F41"/>
    <w:rsid w:val="004E2181"/>
    <w:rsid w:val="004F14D6"/>
    <w:rsid w:val="004F320B"/>
    <w:rsid w:val="004F3835"/>
    <w:rsid w:val="004F4C5E"/>
    <w:rsid w:val="004F61F1"/>
    <w:rsid w:val="004F72E3"/>
    <w:rsid w:val="005026DA"/>
    <w:rsid w:val="0050276E"/>
    <w:rsid w:val="00504D5D"/>
    <w:rsid w:val="00505BC3"/>
    <w:rsid w:val="00506E6D"/>
    <w:rsid w:val="0051467A"/>
    <w:rsid w:val="00514776"/>
    <w:rsid w:val="00516A64"/>
    <w:rsid w:val="00520115"/>
    <w:rsid w:val="005224F3"/>
    <w:rsid w:val="0052505D"/>
    <w:rsid w:val="0053090A"/>
    <w:rsid w:val="0053221D"/>
    <w:rsid w:val="005326CC"/>
    <w:rsid w:val="00533109"/>
    <w:rsid w:val="00534457"/>
    <w:rsid w:val="00534CF7"/>
    <w:rsid w:val="005361E9"/>
    <w:rsid w:val="00537BE2"/>
    <w:rsid w:val="0054158F"/>
    <w:rsid w:val="0054283D"/>
    <w:rsid w:val="0054493B"/>
    <w:rsid w:val="0054508C"/>
    <w:rsid w:val="005468A2"/>
    <w:rsid w:val="00546DBF"/>
    <w:rsid w:val="00554270"/>
    <w:rsid w:val="00555358"/>
    <w:rsid w:val="00555A80"/>
    <w:rsid w:val="00561C9A"/>
    <w:rsid w:val="0056644B"/>
    <w:rsid w:val="0056680E"/>
    <w:rsid w:val="00566D6E"/>
    <w:rsid w:val="00573CF2"/>
    <w:rsid w:val="0058006D"/>
    <w:rsid w:val="0058052D"/>
    <w:rsid w:val="005806D5"/>
    <w:rsid w:val="00583799"/>
    <w:rsid w:val="00590856"/>
    <w:rsid w:val="005917AE"/>
    <w:rsid w:val="005965AF"/>
    <w:rsid w:val="005977D2"/>
    <w:rsid w:val="005A2EF5"/>
    <w:rsid w:val="005A3E07"/>
    <w:rsid w:val="005A527F"/>
    <w:rsid w:val="005A55A9"/>
    <w:rsid w:val="005A70C8"/>
    <w:rsid w:val="005A7DEB"/>
    <w:rsid w:val="005B0C7D"/>
    <w:rsid w:val="005B34B5"/>
    <w:rsid w:val="005B4C57"/>
    <w:rsid w:val="005B624C"/>
    <w:rsid w:val="005B6FC5"/>
    <w:rsid w:val="005C2C5C"/>
    <w:rsid w:val="005C32FC"/>
    <w:rsid w:val="005C3B6F"/>
    <w:rsid w:val="005C489E"/>
    <w:rsid w:val="005C4D2E"/>
    <w:rsid w:val="005D285A"/>
    <w:rsid w:val="005D3726"/>
    <w:rsid w:val="005D4A3C"/>
    <w:rsid w:val="005D4C6E"/>
    <w:rsid w:val="005D6C9F"/>
    <w:rsid w:val="005D71A4"/>
    <w:rsid w:val="005E27EA"/>
    <w:rsid w:val="005E3103"/>
    <w:rsid w:val="005E52A4"/>
    <w:rsid w:val="005E6F08"/>
    <w:rsid w:val="005F1277"/>
    <w:rsid w:val="005F2004"/>
    <w:rsid w:val="005F3338"/>
    <w:rsid w:val="005F39BF"/>
    <w:rsid w:val="005F5C51"/>
    <w:rsid w:val="005F6124"/>
    <w:rsid w:val="005F6C7A"/>
    <w:rsid w:val="00600E28"/>
    <w:rsid w:val="0060240D"/>
    <w:rsid w:val="0060300C"/>
    <w:rsid w:val="00603E58"/>
    <w:rsid w:val="00607015"/>
    <w:rsid w:val="00612374"/>
    <w:rsid w:val="00613F54"/>
    <w:rsid w:val="00613F73"/>
    <w:rsid w:val="00614A02"/>
    <w:rsid w:val="006223DC"/>
    <w:rsid w:val="00623BBE"/>
    <w:rsid w:val="006269CE"/>
    <w:rsid w:val="00632222"/>
    <w:rsid w:val="0063497B"/>
    <w:rsid w:val="00637D5B"/>
    <w:rsid w:val="0064215F"/>
    <w:rsid w:val="006421BC"/>
    <w:rsid w:val="00643ACC"/>
    <w:rsid w:val="0064439E"/>
    <w:rsid w:val="006469E3"/>
    <w:rsid w:val="00646D18"/>
    <w:rsid w:val="00650921"/>
    <w:rsid w:val="0065163F"/>
    <w:rsid w:val="00652795"/>
    <w:rsid w:val="006541EF"/>
    <w:rsid w:val="0065447B"/>
    <w:rsid w:val="00654FA7"/>
    <w:rsid w:val="006571E5"/>
    <w:rsid w:val="00657585"/>
    <w:rsid w:val="0066125C"/>
    <w:rsid w:val="00662E1E"/>
    <w:rsid w:val="0066322D"/>
    <w:rsid w:val="00671853"/>
    <w:rsid w:val="00671AA4"/>
    <w:rsid w:val="00676CFB"/>
    <w:rsid w:val="006778A3"/>
    <w:rsid w:val="006779CB"/>
    <w:rsid w:val="00681569"/>
    <w:rsid w:val="006851CA"/>
    <w:rsid w:val="006875F1"/>
    <w:rsid w:val="00687A6B"/>
    <w:rsid w:val="006965FC"/>
    <w:rsid w:val="006972A6"/>
    <w:rsid w:val="006979EF"/>
    <w:rsid w:val="006A15CC"/>
    <w:rsid w:val="006A4C51"/>
    <w:rsid w:val="006A595B"/>
    <w:rsid w:val="006A6820"/>
    <w:rsid w:val="006A7079"/>
    <w:rsid w:val="006B1AA3"/>
    <w:rsid w:val="006B3D19"/>
    <w:rsid w:val="006B60A0"/>
    <w:rsid w:val="006B7430"/>
    <w:rsid w:val="006B7DA3"/>
    <w:rsid w:val="006C2117"/>
    <w:rsid w:val="006C2E31"/>
    <w:rsid w:val="006C5682"/>
    <w:rsid w:val="006C6657"/>
    <w:rsid w:val="006C66CB"/>
    <w:rsid w:val="006C6A50"/>
    <w:rsid w:val="006C6FC9"/>
    <w:rsid w:val="006C7DB4"/>
    <w:rsid w:val="006D02FC"/>
    <w:rsid w:val="006D298E"/>
    <w:rsid w:val="006D3EED"/>
    <w:rsid w:val="006E0B51"/>
    <w:rsid w:val="006E1C81"/>
    <w:rsid w:val="006E308B"/>
    <w:rsid w:val="006E6B3C"/>
    <w:rsid w:val="006F1C79"/>
    <w:rsid w:val="006F3B53"/>
    <w:rsid w:val="006F3E4A"/>
    <w:rsid w:val="006F69D9"/>
    <w:rsid w:val="007016EF"/>
    <w:rsid w:val="007046A2"/>
    <w:rsid w:val="007049EC"/>
    <w:rsid w:val="0070791A"/>
    <w:rsid w:val="007104F6"/>
    <w:rsid w:val="007115FD"/>
    <w:rsid w:val="00711823"/>
    <w:rsid w:val="007121F2"/>
    <w:rsid w:val="00713284"/>
    <w:rsid w:val="00714319"/>
    <w:rsid w:val="00716468"/>
    <w:rsid w:val="007176BE"/>
    <w:rsid w:val="007209FE"/>
    <w:rsid w:val="007222C4"/>
    <w:rsid w:val="00722548"/>
    <w:rsid w:val="00722635"/>
    <w:rsid w:val="00723863"/>
    <w:rsid w:val="007271A2"/>
    <w:rsid w:val="00731125"/>
    <w:rsid w:val="00731B6F"/>
    <w:rsid w:val="00732918"/>
    <w:rsid w:val="007347B5"/>
    <w:rsid w:val="007363ED"/>
    <w:rsid w:val="00737361"/>
    <w:rsid w:val="0074452D"/>
    <w:rsid w:val="0074466E"/>
    <w:rsid w:val="00744E82"/>
    <w:rsid w:val="00746B13"/>
    <w:rsid w:val="00750B0D"/>
    <w:rsid w:val="007511AD"/>
    <w:rsid w:val="00751346"/>
    <w:rsid w:val="0075169C"/>
    <w:rsid w:val="007521B6"/>
    <w:rsid w:val="00754F0A"/>
    <w:rsid w:val="00762194"/>
    <w:rsid w:val="00764915"/>
    <w:rsid w:val="007651E8"/>
    <w:rsid w:val="00766241"/>
    <w:rsid w:val="00770DF9"/>
    <w:rsid w:val="00771468"/>
    <w:rsid w:val="00771D42"/>
    <w:rsid w:val="00777337"/>
    <w:rsid w:val="00780895"/>
    <w:rsid w:val="00782026"/>
    <w:rsid w:val="0078321F"/>
    <w:rsid w:val="007850C0"/>
    <w:rsid w:val="00785D8A"/>
    <w:rsid w:val="00785E15"/>
    <w:rsid w:val="00786303"/>
    <w:rsid w:val="00787A5C"/>
    <w:rsid w:val="00790E73"/>
    <w:rsid w:val="00793AEA"/>
    <w:rsid w:val="0079410F"/>
    <w:rsid w:val="00795200"/>
    <w:rsid w:val="007960BC"/>
    <w:rsid w:val="007971E2"/>
    <w:rsid w:val="007A0267"/>
    <w:rsid w:val="007A0B59"/>
    <w:rsid w:val="007A1CD0"/>
    <w:rsid w:val="007A24C5"/>
    <w:rsid w:val="007A34B0"/>
    <w:rsid w:val="007A3A82"/>
    <w:rsid w:val="007A414F"/>
    <w:rsid w:val="007A79D4"/>
    <w:rsid w:val="007B189A"/>
    <w:rsid w:val="007B6C89"/>
    <w:rsid w:val="007B7110"/>
    <w:rsid w:val="007C26AA"/>
    <w:rsid w:val="007C48CF"/>
    <w:rsid w:val="007C48E9"/>
    <w:rsid w:val="007C6C68"/>
    <w:rsid w:val="007C6C85"/>
    <w:rsid w:val="007D0791"/>
    <w:rsid w:val="007D1395"/>
    <w:rsid w:val="007D164F"/>
    <w:rsid w:val="007D1929"/>
    <w:rsid w:val="007D3855"/>
    <w:rsid w:val="007D3896"/>
    <w:rsid w:val="007D4A37"/>
    <w:rsid w:val="007E2485"/>
    <w:rsid w:val="007E2B7E"/>
    <w:rsid w:val="007E3456"/>
    <w:rsid w:val="007E5916"/>
    <w:rsid w:val="007E659C"/>
    <w:rsid w:val="007F0C8E"/>
    <w:rsid w:val="007F107E"/>
    <w:rsid w:val="007F1307"/>
    <w:rsid w:val="007F6069"/>
    <w:rsid w:val="007F6E66"/>
    <w:rsid w:val="007F752C"/>
    <w:rsid w:val="007F7C19"/>
    <w:rsid w:val="00800BCD"/>
    <w:rsid w:val="00801172"/>
    <w:rsid w:val="00801D7A"/>
    <w:rsid w:val="00803BFB"/>
    <w:rsid w:val="0080541B"/>
    <w:rsid w:val="00805D7C"/>
    <w:rsid w:val="008062FE"/>
    <w:rsid w:val="00812D81"/>
    <w:rsid w:val="00813034"/>
    <w:rsid w:val="00813A6C"/>
    <w:rsid w:val="00820AB1"/>
    <w:rsid w:val="00823A37"/>
    <w:rsid w:val="0083025B"/>
    <w:rsid w:val="0083204F"/>
    <w:rsid w:val="0083217C"/>
    <w:rsid w:val="00832C7A"/>
    <w:rsid w:val="0083312B"/>
    <w:rsid w:val="00835A2A"/>
    <w:rsid w:val="00840074"/>
    <w:rsid w:val="008410C4"/>
    <w:rsid w:val="008423CF"/>
    <w:rsid w:val="0084348E"/>
    <w:rsid w:val="008442F2"/>
    <w:rsid w:val="00844A7D"/>
    <w:rsid w:val="00845DDD"/>
    <w:rsid w:val="00852E3D"/>
    <w:rsid w:val="00856960"/>
    <w:rsid w:val="00860582"/>
    <w:rsid w:val="0086124A"/>
    <w:rsid w:val="00861CC4"/>
    <w:rsid w:val="008649A7"/>
    <w:rsid w:val="00870971"/>
    <w:rsid w:val="00874615"/>
    <w:rsid w:val="008752A0"/>
    <w:rsid w:val="00875744"/>
    <w:rsid w:val="00877AB3"/>
    <w:rsid w:val="008812C6"/>
    <w:rsid w:val="00882BE5"/>
    <w:rsid w:val="00883786"/>
    <w:rsid w:val="0088408D"/>
    <w:rsid w:val="00886885"/>
    <w:rsid w:val="00886AD3"/>
    <w:rsid w:val="00887D7E"/>
    <w:rsid w:val="00890A09"/>
    <w:rsid w:val="0089259B"/>
    <w:rsid w:val="008953AD"/>
    <w:rsid w:val="00896CDC"/>
    <w:rsid w:val="00897128"/>
    <w:rsid w:val="00897136"/>
    <w:rsid w:val="008A0844"/>
    <w:rsid w:val="008A1244"/>
    <w:rsid w:val="008A14E9"/>
    <w:rsid w:val="008A23B5"/>
    <w:rsid w:val="008A2E00"/>
    <w:rsid w:val="008A3BAE"/>
    <w:rsid w:val="008A60FC"/>
    <w:rsid w:val="008A7049"/>
    <w:rsid w:val="008B0E01"/>
    <w:rsid w:val="008B1DC9"/>
    <w:rsid w:val="008B70C9"/>
    <w:rsid w:val="008B7326"/>
    <w:rsid w:val="008C04C4"/>
    <w:rsid w:val="008C32FE"/>
    <w:rsid w:val="008C5025"/>
    <w:rsid w:val="008D03DA"/>
    <w:rsid w:val="008D3297"/>
    <w:rsid w:val="008D52BA"/>
    <w:rsid w:val="008E245D"/>
    <w:rsid w:val="008E3E68"/>
    <w:rsid w:val="008E4669"/>
    <w:rsid w:val="008E62C3"/>
    <w:rsid w:val="008E6559"/>
    <w:rsid w:val="008E65B2"/>
    <w:rsid w:val="008E690A"/>
    <w:rsid w:val="008F05B4"/>
    <w:rsid w:val="008F2C7A"/>
    <w:rsid w:val="008F6418"/>
    <w:rsid w:val="0090006A"/>
    <w:rsid w:val="0090112A"/>
    <w:rsid w:val="00902C77"/>
    <w:rsid w:val="00903197"/>
    <w:rsid w:val="0090688B"/>
    <w:rsid w:val="00910265"/>
    <w:rsid w:val="009102A3"/>
    <w:rsid w:val="00910A6B"/>
    <w:rsid w:val="0091385F"/>
    <w:rsid w:val="00916FC4"/>
    <w:rsid w:val="0091753E"/>
    <w:rsid w:val="00926E02"/>
    <w:rsid w:val="00932747"/>
    <w:rsid w:val="00933895"/>
    <w:rsid w:val="00934CE2"/>
    <w:rsid w:val="0093604B"/>
    <w:rsid w:val="00942927"/>
    <w:rsid w:val="00943927"/>
    <w:rsid w:val="00943A1A"/>
    <w:rsid w:val="00943A4C"/>
    <w:rsid w:val="009446E5"/>
    <w:rsid w:val="00946C4C"/>
    <w:rsid w:val="009470CD"/>
    <w:rsid w:val="00947144"/>
    <w:rsid w:val="00947A6D"/>
    <w:rsid w:val="00947CD0"/>
    <w:rsid w:val="0095018E"/>
    <w:rsid w:val="00951C48"/>
    <w:rsid w:val="0095229A"/>
    <w:rsid w:val="00952E9F"/>
    <w:rsid w:val="00957866"/>
    <w:rsid w:val="00957EAF"/>
    <w:rsid w:val="009652C7"/>
    <w:rsid w:val="009655B8"/>
    <w:rsid w:val="00967342"/>
    <w:rsid w:val="00971564"/>
    <w:rsid w:val="00972CCF"/>
    <w:rsid w:val="0097375C"/>
    <w:rsid w:val="00973B8D"/>
    <w:rsid w:val="009740C1"/>
    <w:rsid w:val="009746B9"/>
    <w:rsid w:val="0097488C"/>
    <w:rsid w:val="00974CB2"/>
    <w:rsid w:val="00982A57"/>
    <w:rsid w:val="0098362D"/>
    <w:rsid w:val="009840A7"/>
    <w:rsid w:val="00984D4B"/>
    <w:rsid w:val="00985EE4"/>
    <w:rsid w:val="0099006D"/>
    <w:rsid w:val="009908D8"/>
    <w:rsid w:val="009918B9"/>
    <w:rsid w:val="009930B0"/>
    <w:rsid w:val="009934E3"/>
    <w:rsid w:val="0099530C"/>
    <w:rsid w:val="009A0978"/>
    <w:rsid w:val="009A0CD0"/>
    <w:rsid w:val="009A1E12"/>
    <w:rsid w:val="009A24D2"/>
    <w:rsid w:val="009A5742"/>
    <w:rsid w:val="009A6DC3"/>
    <w:rsid w:val="009A7163"/>
    <w:rsid w:val="009A7570"/>
    <w:rsid w:val="009B1E15"/>
    <w:rsid w:val="009B5707"/>
    <w:rsid w:val="009B7BB4"/>
    <w:rsid w:val="009C1BE7"/>
    <w:rsid w:val="009C337E"/>
    <w:rsid w:val="009C4C87"/>
    <w:rsid w:val="009C5BF5"/>
    <w:rsid w:val="009D02DC"/>
    <w:rsid w:val="009D0E1C"/>
    <w:rsid w:val="009D311B"/>
    <w:rsid w:val="009D425C"/>
    <w:rsid w:val="009D4435"/>
    <w:rsid w:val="009E28BA"/>
    <w:rsid w:val="009E312B"/>
    <w:rsid w:val="009E49A2"/>
    <w:rsid w:val="009E520E"/>
    <w:rsid w:val="009E540B"/>
    <w:rsid w:val="009F074F"/>
    <w:rsid w:val="009F0993"/>
    <w:rsid w:val="009F0B7C"/>
    <w:rsid w:val="009F0DEE"/>
    <w:rsid w:val="009F100D"/>
    <w:rsid w:val="009F2107"/>
    <w:rsid w:val="009F3487"/>
    <w:rsid w:val="009F3678"/>
    <w:rsid w:val="009F6F44"/>
    <w:rsid w:val="009F75CB"/>
    <w:rsid w:val="00A03639"/>
    <w:rsid w:val="00A05383"/>
    <w:rsid w:val="00A0568D"/>
    <w:rsid w:val="00A072AA"/>
    <w:rsid w:val="00A07952"/>
    <w:rsid w:val="00A107AD"/>
    <w:rsid w:val="00A10891"/>
    <w:rsid w:val="00A128DF"/>
    <w:rsid w:val="00A129FF"/>
    <w:rsid w:val="00A1457B"/>
    <w:rsid w:val="00A15DA9"/>
    <w:rsid w:val="00A21B66"/>
    <w:rsid w:val="00A2233E"/>
    <w:rsid w:val="00A22817"/>
    <w:rsid w:val="00A236E8"/>
    <w:rsid w:val="00A242E2"/>
    <w:rsid w:val="00A25728"/>
    <w:rsid w:val="00A25DD2"/>
    <w:rsid w:val="00A268AB"/>
    <w:rsid w:val="00A30DB1"/>
    <w:rsid w:val="00A35FCE"/>
    <w:rsid w:val="00A42839"/>
    <w:rsid w:val="00A438E1"/>
    <w:rsid w:val="00A449DE"/>
    <w:rsid w:val="00A4504F"/>
    <w:rsid w:val="00A46A9A"/>
    <w:rsid w:val="00A47428"/>
    <w:rsid w:val="00A505F5"/>
    <w:rsid w:val="00A51A17"/>
    <w:rsid w:val="00A549BD"/>
    <w:rsid w:val="00A5668B"/>
    <w:rsid w:val="00A57CF5"/>
    <w:rsid w:val="00A62351"/>
    <w:rsid w:val="00A64B8F"/>
    <w:rsid w:val="00A64CCB"/>
    <w:rsid w:val="00A65ED7"/>
    <w:rsid w:val="00A703DF"/>
    <w:rsid w:val="00A7050D"/>
    <w:rsid w:val="00A72977"/>
    <w:rsid w:val="00A736A0"/>
    <w:rsid w:val="00A73EAF"/>
    <w:rsid w:val="00A75761"/>
    <w:rsid w:val="00A76391"/>
    <w:rsid w:val="00A776F6"/>
    <w:rsid w:val="00A807D0"/>
    <w:rsid w:val="00A8329F"/>
    <w:rsid w:val="00A832E1"/>
    <w:rsid w:val="00A85360"/>
    <w:rsid w:val="00A8549D"/>
    <w:rsid w:val="00A8569A"/>
    <w:rsid w:val="00A87E78"/>
    <w:rsid w:val="00A90CE4"/>
    <w:rsid w:val="00A91FD7"/>
    <w:rsid w:val="00A921BC"/>
    <w:rsid w:val="00A93BFF"/>
    <w:rsid w:val="00A945DD"/>
    <w:rsid w:val="00A96032"/>
    <w:rsid w:val="00A96953"/>
    <w:rsid w:val="00AA0B7E"/>
    <w:rsid w:val="00AA1F25"/>
    <w:rsid w:val="00AA2027"/>
    <w:rsid w:val="00AA22EC"/>
    <w:rsid w:val="00AA3703"/>
    <w:rsid w:val="00AA5E98"/>
    <w:rsid w:val="00AA6CDE"/>
    <w:rsid w:val="00AB0C65"/>
    <w:rsid w:val="00AB25E7"/>
    <w:rsid w:val="00AB6034"/>
    <w:rsid w:val="00AB78C2"/>
    <w:rsid w:val="00AC03F2"/>
    <w:rsid w:val="00AC0EAE"/>
    <w:rsid w:val="00AC328B"/>
    <w:rsid w:val="00AC5871"/>
    <w:rsid w:val="00AC6654"/>
    <w:rsid w:val="00AD1E6D"/>
    <w:rsid w:val="00AD267F"/>
    <w:rsid w:val="00AD62C9"/>
    <w:rsid w:val="00AD675D"/>
    <w:rsid w:val="00AD6EFF"/>
    <w:rsid w:val="00AE1E0E"/>
    <w:rsid w:val="00AE2753"/>
    <w:rsid w:val="00AE29FF"/>
    <w:rsid w:val="00AE3184"/>
    <w:rsid w:val="00AE3298"/>
    <w:rsid w:val="00AE3A0D"/>
    <w:rsid w:val="00AE5CA1"/>
    <w:rsid w:val="00AE6F57"/>
    <w:rsid w:val="00AE74D8"/>
    <w:rsid w:val="00AF17FE"/>
    <w:rsid w:val="00AF1FB6"/>
    <w:rsid w:val="00AF211C"/>
    <w:rsid w:val="00AF3058"/>
    <w:rsid w:val="00AF4163"/>
    <w:rsid w:val="00AF5265"/>
    <w:rsid w:val="00AF5AEC"/>
    <w:rsid w:val="00AF5EE3"/>
    <w:rsid w:val="00AF6CE4"/>
    <w:rsid w:val="00AF7D8F"/>
    <w:rsid w:val="00B00B61"/>
    <w:rsid w:val="00B00E5E"/>
    <w:rsid w:val="00B10FE7"/>
    <w:rsid w:val="00B11BB6"/>
    <w:rsid w:val="00B11E8A"/>
    <w:rsid w:val="00B129EC"/>
    <w:rsid w:val="00B12AB7"/>
    <w:rsid w:val="00B144A1"/>
    <w:rsid w:val="00B14C4E"/>
    <w:rsid w:val="00B15EA2"/>
    <w:rsid w:val="00B21996"/>
    <w:rsid w:val="00B220A3"/>
    <w:rsid w:val="00B226C8"/>
    <w:rsid w:val="00B232FC"/>
    <w:rsid w:val="00B25E97"/>
    <w:rsid w:val="00B2692B"/>
    <w:rsid w:val="00B27A5C"/>
    <w:rsid w:val="00B30231"/>
    <w:rsid w:val="00B32724"/>
    <w:rsid w:val="00B34E23"/>
    <w:rsid w:val="00B356B6"/>
    <w:rsid w:val="00B35BA1"/>
    <w:rsid w:val="00B3602D"/>
    <w:rsid w:val="00B3704F"/>
    <w:rsid w:val="00B37413"/>
    <w:rsid w:val="00B40FC8"/>
    <w:rsid w:val="00B451B6"/>
    <w:rsid w:val="00B51A1C"/>
    <w:rsid w:val="00B52F7E"/>
    <w:rsid w:val="00B534AD"/>
    <w:rsid w:val="00B545B7"/>
    <w:rsid w:val="00B56388"/>
    <w:rsid w:val="00B563F3"/>
    <w:rsid w:val="00B60D94"/>
    <w:rsid w:val="00B614F9"/>
    <w:rsid w:val="00B615A1"/>
    <w:rsid w:val="00B61616"/>
    <w:rsid w:val="00B64117"/>
    <w:rsid w:val="00B66A7A"/>
    <w:rsid w:val="00B66CDF"/>
    <w:rsid w:val="00B67B59"/>
    <w:rsid w:val="00B719AF"/>
    <w:rsid w:val="00B738F6"/>
    <w:rsid w:val="00B76526"/>
    <w:rsid w:val="00B82B15"/>
    <w:rsid w:val="00B8300F"/>
    <w:rsid w:val="00B8369C"/>
    <w:rsid w:val="00B91550"/>
    <w:rsid w:val="00B92DA1"/>
    <w:rsid w:val="00B9429F"/>
    <w:rsid w:val="00B944BF"/>
    <w:rsid w:val="00B95238"/>
    <w:rsid w:val="00B973DB"/>
    <w:rsid w:val="00B97C73"/>
    <w:rsid w:val="00BA06C6"/>
    <w:rsid w:val="00BA1675"/>
    <w:rsid w:val="00BA17CB"/>
    <w:rsid w:val="00BA1DBC"/>
    <w:rsid w:val="00BA206E"/>
    <w:rsid w:val="00BA2373"/>
    <w:rsid w:val="00BA4013"/>
    <w:rsid w:val="00BA4836"/>
    <w:rsid w:val="00BA51FC"/>
    <w:rsid w:val="00BA5775"/>
    <w:rsid w:val="00BB0BC3"/>
    <w:rsid w:val="00BB137B"/>
    <w:rsid w:val="00BB28FB"/>
    <w:rsid w:val="00BB361C"/>
    <w:rsid w:val="00BB3AA8"/>
    <w:rsid w:val="00BB596B"/>
    <w:rsid w:val="00BB6063"/>
    <w:rsid w:val="00BB6DF6"/>
    <w:rsid w:val="00BB73B2"/>
    <w:rsid w:val="00BC08EA"/>
    <w:rsid w:val="00BC124B"/>
    <w:rsid w:val="00BC2DC7"/>
    <w:rsid w:val="00BC41EA"/>
    <w:rsid w:val="00BC52EF"/>
    <w:rsid w:val="00BC7B39"/>
    <w:rsid w:val="00BD11DE"/>
    <w:rsid w:val="00BD270C"/>
    <w:rsid w:val="00BD6B2F"/>
    <w:rsid w:val="00BE056B"/>
    <w:rsid w:val="00BE692D"/>
    <w:rsid w:val="00BF2574"/>
    <w:rsid w:val="00BF2667"/>
    <w:rsid w:val="00BF2BFC"/>
    <w:rsid w:val="00BF2F81"/>
    <w:rsid w:val="00BF3065"/>
    <w:rsid w:val="00BF39BE"/>
    <w:rsid w:val="00BF4897"/>
    <w:rsid w:val="00BF615A"/>
    <w:rsid w:val="00BF64FF"/>
    <w:rsid w:val="00C020BC"/>
    <w:rsid w:val="00C0368E"/>
    <w:rsid w:val="00C0394F"/>
    <w:rsid w:val="00C03BB5"/>
    <w:rsid w:val="00C05503"/>
    <w:rsid w:val="00C065C3"/>
    <w:rsid w:val="00C101AE"/>
    <w:rsid w:val="00C11346"/>
    <w:rsid w:val="00C11CF9"/>
    <w:rsid w:val="00C11F86"/>
    <w:rsid w:val="00C16F6A"/>
    <w:rsid w:val="00C170D6"/>
    <w:rsid w:val="00C26C8D"/>
    <w:rsid w:val="00C31DD3"/>
    <w:rsid w:val="00C32B64"/>
    <w:rsid w:val="00C35F3E"/>
    <w:rsid w:val="00C415B7"/>
    <w:rsid w:val="00C54755"/>
    <w:rsid w:val="00C548BD"/>
    <w:rsid w:val="00C56347"/>
    <w:rsid w:val="00C566F9"/>
    <w:rsid w:val="00C57605"/>
    <w:rsid w:val="00C602BC"/>
    <w:rsid w:val="00C60401"/>
    <w:rsid w:val="00C65B2C"/>
    <w:rsid w:val="00C70BB5"/>
    <w:rsid w:val="00C72771"/>
    <w:rsid w:val="00C73E30"/>
    <w:rsid w:val="00C74201"/>
    <w:rsid w:val="00C75108"/>
    <w:rsid w:val="00C75F5B"/>
    <w:rsid w:val="00C75FAF"/>
    <w:rsid w:val="00C765E5"/>
    <w:rsid w:val="00C80791"/>
    <w:rsid w:val="00C80811"/>
    <w:rsid w:val="00C8101E"/>
    <w:rsid w:val="00C8316C"/>
    <w:rsid w:val="00C9041A"/>
    <w:rsid w:val="00C9094D"/>
    <w:rsid w:val="00C926E8"/>
    <w:rsid w:val="00C92B01"/>
    <w:rsid w:val="00C92EFE"/>
    <w:rsid w:val="00C96FE7"/>
    <w:rsid w:val="00C97EA6"/>
    <w:rsid w:val="00CA72AB"/>
    <w:rsid w:val="00CA7637"/>
    <w:rsid w:val="00CB0277"/>
    <w:rsid w:val="00CB185C"/>
    <w:rsid w:val="00CB2C49"/>
    <w:rsid w:val="00CB56AF"/>
    <w:rsid w:val="00CB7BF8"/>
    <w:rsid w:val="00CC6016"/>
    <w:rsid w:val="00CC6777"/>
    <w:rsid w:val="00CD0939"/>
    <w:rsid w:val="00CD2223"/>
    <w:rsid w:val="00CD3BCF"/>
    <w:rsid w:val="00CD4323"/>
    <w:rsid w:val="00CE21FB"/>
    <w:rsid w:val="00CE3753"/>
    <w:rsid w:val="00CE5C98"/>
    <w:rsid w:val="00CF4288"/>
    <w:rsid w:val="00CF6407"/>
    <w:rsid w:val="00CF6531"/>
    <w:rsid w:val="00D01B70"/>
    <w:rsid w:val="00D0241B"/>
    <w:rsid w:val="00D04063"/>
    <w:rsid w:val="00D04D91"/>
    <w:rsid w:val="00D04ECC"/>
    <w:rsid w:val="00D1159C"/>
    <w:rsid w:val="00D127B3"/>
    <w:rsid w:val="00D149C7"/>
    <w:rsid w:val="00D15D49"/>
    <w:rsid w:val="00D1620E"/>
    <w:rsid w:val="00D17A3F"/>
    <w:rsid w:val="00D203C4"/>
    <w:rsid w:val="00D21920"/>
    <w:rsid w:val="00D24331"/>
    <w:rsid w:val="00D244C2"/>
    <w:rsid w:val="00D24F58"/>
    <w:rsid w:val="00D269D1"/>
    <w:rsid w:val="00D27160"/>
    <w:rsid w:val="00D2766A"/>
    <w:rsid w:val="00D312B6"/>
    <w:rsid w:val="00D33C9A"/>
    <w:rsid w:val="00D33D88"/>
    <w:rsid w:val="00D33F18"/>
    <w:rsid w:val="00D35253"/>
    <w:rsid w:val="00D353AE"/>
    <w:rsid w:val="00D37F16"/>
    <w:rsid w:val="00D4027D"/>
    <w:rsid w:val="00D41ECD"/>
    <w:rsid w:val="00D43517"/>
    <w:rsid w:val="00D436D5"/>
    <w:rsid w:val="00D43BE6"/>
    <w:rsid w:val="00D44A56"/>
    <w:rsid w:val="00D455E8"/>
    <w:rsid w:val="00D459DF"/>
    <w:rsid w:val="00D45AB7"/>
    <w:rsid w:val="00D46AC2"/>
    <w:rsid w:val="00D47930"/>
    <w:rsid w:val="00D569EB"/>
    <w:rsid w:val="00D617AB"/>
    <w:rsid w:val="00D61D56"/>
    <w:rsid w:val="00D63CDD"/>
    <w:rsid w:val="00D63F14"/>
    <w:rsid w:val="00D64755"/>
    <w:rsid w:val="00D6735E"/>
    <w:rsid w:val="00D67FB0"/>
    <w:rsid w:val="00D70C59"/>
    <w:rsid w:val="00D71373"/>
    <w:rsid w:val="00D7306E"/>
    <w:rsid w:val="00D73327"/>
    <w:rsid w:val="00D7442E"/>
    <w:rsid w:val="00D76360"/>
    <w:rsid w:val="00D80101"/>
    <w:rsid w:val="00D8114D"/>
    <w:rsid w:val="00D83566"/>
    <w:rsid w:val="00D84BEF"/>
    <w:rsid w:val="00D8684F"/>
    <w:rsid w:val="00D86C61"/>
    <w:rsid w:val="00D87533"/>
    <w:rsid w:val="00D87B17"/>
    <w:rsid w:val="00D90505"/>
    <w:rsid w:val="00D92F22"/>
    <w:rsid w:val="00D93473"/>
    <w:rsid w:val="00D95489"/>
    <w:rsid w:val="00D957E9"/>
    <w:rsid w:val="00D95B56"/>
    <w:rsid w:val="00D974A6"/>
    <w:rsid w:val="00DA10D8"/>
    <w:rsid w:val="00DA3067"/>
    <w:rsid w:val="00DA6949"/>
    <w:rsid w:val="00DB13A7"/>
    <w:rsid w:val="00DB1C32"/>
    <w:rsid w:val="00DB3CA6"/>
    <w:rsid w:val="00DB536F"/>
    <w:rsid w:val="00DB7118"/>
    <w:rsid w:val="00DB73F6"/>
    <w:rsid w:val="00DC022D"/>
    <w:rsid w:val="00DC2376"/>
    <w:rsid w:val="00DC23A5"/>
    <w:rsid w:val="00DC5019"/>
    <w:rsid w:val="00DC5DA5"/>
    <w:rsid w:val="00DD1910"/>
    <w:rsid w:val="00DD3E6E"/>
    <w:rsid w:val="00DD57A9"/>
    <w:rsid w:val="00DD5B18"/>
    <w:rsid w:val="00DD657F"/>
    <w:rsid w:val="00DD6B39"/>
    <w:rsid w:val="00DE0B24"/>
    <w:rsid w:val="00DE2568"/>
    <w:rsid w:val="00DE2AF0"/>
    <w:rsid w:val="00DE2EA9"/>
    <w:rsid w:val="00DE4ACB"/>
    <w:rsid w:val="00DE5B2B"/>
    <w:rsid w:val="00DE60F9"/>
    <w:rsid w:val="00DE72F6"/>
    <w:rsid w:val="00DF1759"/>
    <w:rsid w:val="00DF1DFE"/>
    <w:rsid w:val="00DF3707"/>
    <w:rsid w:val="00DF4F0B"/>
    <w:rsid w:val="00DF6433"/>
    <w:rsid w:val="00DF67EB"/>
    <w:rsid w:val="00DF7AA6"/>
    <w:rsid w:val="00E00CFE"/>
    <w:rsid w:val="00E00D93"/>
    <w:rsid w:val="00E01D8A"/>
    <w:rsid w:val="00E02608"/>
    <w:rsid w:val="00E02749"/>
    <w:rsid w:val="00E059F9"/>
    <w:rsid w:val="00E06D6F"/>
    <w:rsid w:val="00E11672"/>
    <w:rsid w:val="00E12D1F"/>
    <w:rsid w:val="00E1314C"/>
    <w:rsid w:val="00E1322D"/>
    <w:rsid w:val="00E1638D"/>
    <w:rsid w:val="00E1644B"/>
    <w:rsid w:val="00E20B50"/>
    <w:rsid w:val="00E20F4F"/>
    <w:rsid w:val="00E23242"/>
    <w:rsid w:val="00E31B72"/>
    <w:rsid w:val="00E3247B"/>
    <w:rsid w:val="00E32672"/>
    <w:rsid w:val="00E33404"/>
    <w:rsid w:val="00E35EB3"/>
    <w:rsid w:val="00E37D62"/>
    <w:rsid w:val="00E4211E"/>
    <w:rsid w:val="00E42A69"/>
    <w:rsid w:val="00E44048"/>
    <w:rsid w:val="00E44127"/>
    <w:rsid w:val="00E50887"/>
    <w:rsid w:val="00E518F8"/>
    <w:rsid w:val="00E54D7B"/>
    <w:rsid w:val="00E56529"/>
    <w:rsid w:val="00E56CF8"/>
    <w:rsid w:val="00E6136F"/>
    <w:rsid w:val="00E62157"/>
    <w:rsid w:val="00E65D5D"/>
    <w:rsid w:val="00E66557"/>
    <w:rsid w:val="00E7094F"/>
    <w:rsid w:val="00E721ED"/>
    <w:rsid w:val="00E75E61"/>
    <w:rsid w:val="00E7791D"/>
    <w:rsid w:val="00E814D0"/>
    <w:rsid w:val="00E81806"/>
    <w:rsid w:val="00E83913"/>
    <w:rsid w:val="00E840FF"/>
    <w:rsid w:val="00E84707"/>
    <w:rsid w:val="00E861F4"/>
    <w:rsid w:val="00E86721"/>
    <w:rsid w:val="00E8794E"/>
    <w:rsid w:val="00E91329"/>
    <w:rsid w:val="00E915A6"/>
    <w:rsid w:val="00E919F2"/>
    <w:rsid w:val="00E942BB"/>
    <w:rsid w:val="00EA0317"/>
    <w:rsid w:val="00EA0D47"/>
    <w:rsid w:val="00EA3CB2"/>
    <w:rsid w:val="00EA421C"/>
    <w:rsid w:val="00EA4574"/>
    <w:rsid w:val="00EA6A7B"/>
    <w:rsid w:val="00EA7D9D"/>
    <w:rsid w:val="00EB4AFE"/>
    <w:rsid w:val="00EB5F8A"/>
    <w:rsid w:val="00EB75E8"/>
    <w:rsid w:val="00EC03BE"/>
    <w:rsid w:val="00EC10EA"/>
    <w:rsid w:val="00EC567F"/>
    <w:rsid w:val="00EC57D6"/>
    <w:rsid w:val="00EC6B23"/>
    <w:rsid w:val="00EC7394"/>
    <w:rsid w:val="00ED158E"/>
    <w:rsid w:val="00ED17DD"/>
    <w:rsid w:val="00ED4168"/>
    <w:rsid w:val="00ED5889"/>
    <w:rsid w:val="00ED7D78"/>
    <w:rsid w:val="00EE4CF6"/>
    <w:rsid w:val="00EE5203"/>
    <w:rsid w:val="00EE6669"/>
    <w:rsid w:val="00EE6D25"/>
    <w:rsid w:val="00EE7E6E"/>
    <w:rsid w:val="00EF1EC5"/>
    <w:rsid w:val="00EF299D"/>
    <w:rsid w:val="00EF3DD5"/>
    <w:rsid w:val="00EF5D58"/>
    <w:rsid w:val="00EF7A2D"/>
    <w:rsid w:val="00F04564"/>
    <w:rsid w:val="00F05302"/>
    <w:rsid w:val="00F06812"/>
    <w:rsid w:val="00F071DA"/>
    <w:rsid w:val="00F12BD0"/>
    <w:rsid w:val="00F14C25"/>
    <w:rsid w:val="00F15C9D"/>
    <w:rsid w:val="00F212CA"/>
    <w:rsid w:val="00F21549"/>
    <w:rsid w:val="00F219B1"/>
    <w:rsid w:val="00F21F27"/>
    <w:rsid w:val="00F2223C"/>
    <w:rsid w:val="00F24029"/>
    <w:rsid w:val="00F24273"/>
    <w:rsid w:val="00F26582"/>
    <w:rsid w:val="00F301B6"/>
    <w:rsid w:val="00F304EF"/>
    <w:rsid w:val="00F31CA1"/>
    <w:rsid w:val="00F32C57"/>
    <w:rsid w:val="00F330EC"/>
    <w:rsid w:val="00F35718"/>
    <w:rsid w:val="00F35CA3"/>
    <w:rsid w:val="00F4047E"/>
    <w:rsid w:val="00F409C1"/>
    <w:rsid w:val="00F41187"/>
    <w:rsid w:val="00F416D6"/>
    <w:rsid w:val="00F41E1A"/>
    <w:rsid w:val="00F43D0E"/>
    <w:rsid w:val="00F43F6C"/>
    <w:rsid w:val="00F45070"/>
    <w:rsid w:val="00F45E68"/>
    <w:rsid w:val="00F47B15"/>
    <w:rsid w:val="00F529F5"/>
    <w:rsid w:val="00F53359"/>
    <w:rsid w:val="00F53515"/>
    <w:rsid w:val="00F53AC7"/>
    <w:rsid w:val="00F5431C"/>
    <w:rsid w:val="00F545EF"/>
    <w:rsid w:val="00F549BE"/>
    <w:rsid w:val="00F5565B"/>
    <w:rsid w:val="00F55E33"/>
    <w:rsid w:val="00F60147"/>
    <w:rsid w:val="00F65156"/>
    <w:rsid w:val="00F66E1B"/>
    <w:rsid w:val="00F66FE5"/>
    <w:rsid w:val="00F70A74"/>
    <w:rsid w:val="00F7118E"/>
    <w:rsid w:val="00F75751"/>
    <w:rsid w:val="00F759C1"/>
    <w:rsid w:val="00F8074A"/>
    <w:rsid w:val="00F826E4"/>
    <w:rsid w:val="00F8294E"/>
    <w:rsid w:val="00F868AA"/>
    <w:rsid w:val="00F91383"/>
    <w:rsid w:val="00F91FE1"/>
    <w:rsid w:val="00F930F6"/>
    <w:rsid w:val="00F944D1"/>
    <w:rsid w:val="00FA4124"/>
    <w:rsid w:val="00FA45E3"/>
    <w:rsid w:val="00FA4C4B"/>
    <w:rsid w:val="00FA6EF7"/>
    <w:rsid w:val="00FA7397"/>
    <w:rsid w:val="00FA7BDD"/>
    <w:rsid w:val="00FB24ED"/>
    <w:rsid w:val="00FB2731"/>
    <w:rsid w:val="00FB2DCD"/>
    <w:rsid w:val="00FB3573"/>
    <w:rsid w:val="00FB3D95"/>
    <w:rsid w:val="00FB5533"/>
    <w:rsid w:val="00FB5FC4"/>
    <w:rsid w:val="00FB6F03"/>
    <w:rsid w:val="00FC12D6"/>
    <w:rsid w:val="00FC1A29"/>
    <w:rsid w:val="00FC2954"/>
    <w:rsid w:val="00FC4E13"/>
    <w:rsid w:val="00FC639A"/>
    <w:rsid w:val="00FC7441"/>
    <w:rsid w:val="00FD01CA"/>
    <w:rsid w:val="00FD1641"/>
    <w:rsid w:val="00FD3751"/>
    <w:rsid w:val="00FD51D8"/>
    <w:rsid w:val="00FD6B74"/>
    <w:rsid w:val="00FE12B1"/>
    <w:rsid w:val="00FE2005"/>
    <w:rsid w:val="00FE625D"/>
    <w:rsid w:val="00FE6CA9"/>
    <w:rsid w:val="00FE7254"/>
    <w:rsid w:val="00FF2920"/>
    <w:rsid w:val="00FF4415"/>
    <w:rsid w:val="00FF5CF4"/>
    <w:rsid w:val="0187B876"/>
    <w:rsid w:val="02BAB31A"/>
    <w:rsid w:val="02DBF932"/>
    <w:rsid w:val="035D91B3"/>
    <w:rsid w:val="0388F743"/>
    <w:rsid w:val="03E5D857"/>
    <w:rsid w:val="05175898"/>
    <w:rsid w:val="05BBA996"/>
    <w:rsid w:val="05C894C1"/>
    <w:rsid w:val="0A3F8EA7"/>
    <w:rsid w:val="0A531CCB"/>
    <w:rsid w:val="0B50D530"/>
    <w:rsid w:val="0BBD95A9"/>
    <w:rsid w:val="0C2FAB6C"/>
    <w:rsid w:val="0D1DE983"/>
    <w:rsid w:val="0DA01D50"/>
    <w:rsid w:val="0E589875"/>
    <w:rsid w:val="0F91A8C0"/>
    <w:rsid w:val="12288E83"/>
    <w:rsid w:val="12B0CCED"/>
    <w:rsid w:val="12BF8924"/>
    <w:rsid w:val="1451E2F4"/>
    <w:rsid w:val="14D773A8"/>
    <w:rsid w:val="1517C091"/>
    <w:rsid w:val="161A47A2"/>
    <w:rsid w:val="16D7EF1A"/>
    <w:rsid w:val="17319FD3"/>
    <w:rsid w:val="1793F620"/>
    <w:rsid w:val="17D63941"/>
    <w:rsid w:val="1853055A"/>
    <w:rsid w:val="19707FB5"/>
    <w:rsid w:val="1A6010B3"/>
    <w:rsid w:val="1A74B454"/>
    <w:rsid w:val="1BB6804B"/>
    <w:rsid w:val="1CC687B0"/>
    <w:rsid w:val="1DB31948"/>
    <w:rsid w:val="1DDBF959"/>
    <w:rsid w:val="1DF20831"/>
    <w:rsid w:val="1E412842"/>
    <w:rsid w:val="1E4A6BEC"/>
    <w:rsid w:val="1F7749D5"/>
    <w:rsid w:val="1F8CB033"/>
    <w:rsid w:val="1F8EE846"/>
    <w:rsid w:val="1FA9C8AE"/>
    <w:rsid w:val="20922EF6"/>
    <w:rsid w:val="21F19F53"/>
    <w:rsid w:val="22246B4F"/>
    <w:rsid w:val="2228F9C9"/>
    <w:rsid w:val="233117DE"/>
    <w:rsid w:val="23486493"/>
    <w:rsid w:val="24181061"/>
    <w:rsid w:val="24503723"/>
    <w:rsid w:val="24AF8A9D"/>
    <w:rsid w:val="24E57402"/>
    <w:rsid w:val="24F561E5"/>
    <w:rsid w:val="25241763"/>
    <w:rsid w:val="25BBE7D0"/>
    <w:rsid w:val="25FEC258"/>
    <w:rsid w:val="26279D9D"/>
    <w:rsid w:val="26557110"/>
    <w:rsid w:val="269637BF"/>
    <w:rsid w:val="26CBBD15"/>
    <w:rsid w:val="2827B1B2"/>
    <w:rsid w:val="28571765"/>
    <w:rsid w:val="287A1A18"/>
    <w:rsid w:val="289B6435"/>
    <w:rsid w:val="294B052D"/>
    <w:rsid w:val="2A8751E5"/>
    <w:rsid w:val="2B68126E"/>
    <w:rsid w:val="2CBA2D16"/>
    <w:rsid w:val="2CD39CD4"/>
    <w:rsid w:val="2CE1AD55"/>
    <w:rsid w:val="2D6C1016"/>
    <w:rsid w:val="2DD49397"/>
    <w:rsid w:val="2DF5A9BF"/>
    <w:rsid w:val="2E8E4816"/>
    <w:rsid w:val="2EDD5153"/>
    <w:rsid w:val="302CF70A"/>
    <w:rsid w:val="30F69369"/>
    <w:rsid w:val="312594C6"/>
    <w:rsid w:val="316DABEB"/>
    <w:rsid w:val="31E3FC6D"/>
    <w:rsid w:val="323F8139"/>
    <w:rsid w:val="32B60116"/>
    <w:rsid w:val="3444BA61"/>
    <w:rsid w:val="3525601E"/>
    <w:rsid w:val="357D5926"/>
    <w:rsid w:val="3587D024"/>
    <w:rsid w:val="360A034D"/>
    <w:rsid w:val="361A985B"/>
    <w:rsid w:val="38AE2B3A"/>
    <w:rsid w:val="3922BE47"/>
    <w:rsid w:val="3986AEF8"/>
    <w:rsid w:val="39D0784F"/>
    <w:rsid w:val="3B4DCA80"/>
    <w:rsid w:val="3BB8CE85"/>
    <w:rsid w:val="3D3870A4"/>
    <w:rsid w:val="3E545442"/>
    <w:rsid w:val="3E75F6D3"/>
    <w:rsid w:val="3EF8B526"/>
    <w:rsid w:val="40C9C355"/>
    <w:rsid w:val="40D39E46"/>
    <w:rsid w:val="411F72FE"/>
    <w:rsid w:val="411F74E2"/>
    <w:rsid w:val="42AA9039"/>
    <w:rsid w:val="42F9848C"/>
    <w:rsid w:val="42F98632"/>
    <w:rsid w:val="43F0E8B6"/>
    <w:rsid w:val="4419D94E"/>
    <w:rsid w:val="446BEB02"/>
    <w:rsid w:val="4482A7C8"/>
    <w:rsid w:val="44DCBE23"/>
    <w:rsid w:val="452F5DC6"/>
    <w:rsid w:val="4819FE7A"/>
    <w:rsid w:val="481F72C6"/>
    <w:rsid w:val="4856934D"/>
    <w:rsid w:val="48FD4927"/>
    <w:rsid w:val="49F83CA4"/>
    <w:rsid w:val="4A4701DD"/>
    <w:rsid w:val="4A602A3A"/>
    <w:rsid w:val="4AD28166"/>
    <w:rsid w:val="4B02B29A"/>
    <w:rsid w:val="4B15E75D"/>
    <w:rsid w:val="4B7CDE3D"/>
    <w:rsid w:val="4BD44F24"/>
    <w:rsid w:val="4C7B77D9"/>
    <w:rsid w:val="4D7A27D2"/>
    <w:rsid w:val="4D7EA29F"/>
    <w:rsid w:val="4E1DC763"/>
    <w:rsid w:val="4E6619E2"/>
    <w:rsid w:val="4EA37C92"/>
    <w:rsid w:val="4EB6BA3F"/>
    <w:rsid w:val="4F0F02C1"/>
    <w:rsid w:val="4F7F2EBC"/>
    <w:rsid w:val="512B9E57"/>
    <w:rsid w:val="513F19C9"/>
    <w:rsid w:val="51924887"/>
    <w:rsid w:val="53CA7002"/>
    <w:rsid w:val="54C57FE8"/>
    <w:rsid w:val="55907E09"/>
    <w:rsid w:val="566D5039"/>
    <w:rsid w:val="56BFABDF"/>
    <w:rsid w:val="56F4BE25"/>
    <w:rsid w:val="571BE96C"/>
    <w:rsid w:val="57827541"/>
    <w:rsid w:val="5823843A"/>
    <w:rsid w:val="58C9437F"/>
    <w:rsid w:val="58DA7DA3"/>
    <w:rsid w:val="5AB490F5"/>
    <w:rsid w:val="5AC3467A"/>
    <w:rsid w:val="5B931D02"/>
    <w:rsid w:val="5BEE6921"/>
    <w:rsid w:val="5CEF511D"/>
    <w:rsid w:val="5D407D35"/>
    <w:rsid w:val="5EC11B1F"/>
    <w:rsid w:val="5F09BB4E"/>
    <w:rsid w:val="5F43B1B0"/>
    <w:rsid w:val="5F90DFFE"/>
    <w:rsid w:val="600C1C4A"/>
    <w:rsid w:val="60224628"/>
    <w:rsid w:val="60B6AD41"/>
    <w:rsid w:val="6135237C"/>
    <w:rsid w:val="62C72026"/>
    <w:rsid w:val="63D1D961"/>
    <w:rsid w:val="645CB2B5"/>
    <w:rsid w:val="651FFC22"/>
    <w:rsid w:val="671D19AE"/>
    <w:rsid w:val="68679EEF"/>
    <w:rsid w:val="68C63E39"/>
    <w:rsid w:val="69C76206"/>
    <w:rsid w:val="6A6A88CE"/>
    <w:rsid w:val="6B41F19E"/>
    <w:rsid w:val="6B61BC03"/>
    <w:rsid w:val="6CCBA185"/>
    <w:rsid w:val="6D05E979"/>
    <w:rsid w:val="6D0A8E04"/>
    <w:rsid w:val="6D22ADA8"/>
    <w:rsid w:val="6D764E01"/>
    <w:rsid w:val="6E6BAAF4"/>
    <w:rsid w:val="6E984033"/>
    <w:rsid w:val="6F51BE89"/>
    <w:rsid w:val="7118C660"/>
    <w:rsid w:val="712D06C0"/>
    <w:rsid w:val="7136474C"/>
    <w:rsid w:val="71980AC5"/>
    <w:rsid w:val="72F31CE6"/>
    <w:rsid w:val="7317D3CE"/>
    <w:rsid w:val="746275F1"/>
    <w:rsid w:val="747B4613"/>
    <w:rsid w:val="74A815A4"/>
    <w:rsid w:val="74C197DE"/>
    <w:rsid w:val="756CEF76"/>
    <w:rsid w:val="7573E9C2"/>
    <w:rsid w:val="7595E34F"/>
    <w:rsid w:val="75B86490"/>
    <w:rsid w:val="76F865BB"/>
    <w:rsid w:val="775434F1"/>
    <w:rsid w:val="7770123F"/>
    <w:rsid w:val="77AC4128"/>
    <w:rsid w:val="786D1FB6"/>
    <w:rsid w:val="7875DFF2"/>
    <w:rsid w:val="78BA9E44"/>
    <w:rsid w:val="7A454195"/>
    <w:rsid w:val="7A6276C5"/>
    <w:rsid w:val="7AE83063"/>
    <w:rsid w:val="7AF3B54F"/>
    <w:rsid w:val="7C209A51"/>
    <w:rsid w:val="7D9B4930"/>
    <w:rsid w:val="7DA0C8D2"/>
    <w:rsid w:val="7E19E048"/>
    <w:rsid w:val="7E1AF0B4"/>
    <w:rsid w:val="7EC09781"/>
    <w:rsid w:val="7F11A989"/>
    <w:rsid w:val="7F77A668"/>
    <w:rsid w:val="7FD2A06D"/>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paragraph" w:customStyle="1" w:styleId="Naslov310">
    <w:name w:val="Naslov 310"/>
    <w:basedOn w:val="Navaden"/>
    <w:qFormat/>
    <w:rsid w:val="00120162"/>
    <w:rPr>
      <w:b/>
    </w:rPr>
  </w:style>
  <w:style w:type="character" w:styleId="Pripombasklic">
    <w:name w:val="annotation reference"/>
    <w:basedOn w:val="Privzetapisavaodstavka"/>
    <w:uiPriority w:val="99"/>
    <w:semiHidden/>
    <w:unhideWhenUsed/>
    <w:rsid w:val="002B67C9"/>
    <w:rPr>
      <w:sz w:val="16"/>
      <w:szCs w:val="16"/>
    </w:rPr>
  </w:style>
  <w:style w:type="paragraph" w:styleId="Pripombabesedilo">
    <w:name w:val="annotation text"/>
    <w:basedOn w:val="Navaden"/>
    <w:link w:val="PripombabesediloZnak"/>
    <w:uiPriority w:val="99"/>
    <w:semiHidden/>
    <w:unhideWhenUsed/>
    <w:rsid w:val="002B67C9"/>
    <w:pPr>
      <w:spacing w:line="240" w:lineRule="auto"/>
    </w:pPr>
    <w:rPr>
      <w:szCs w:val="20"/>
    </w:rPr>
  </w:style>
  <w:style w:type="character" w:customStyle="1" w:styleId="PripombabesediloZnak">
    <w:name w:val="Pripomba – besedilo Znak"/>
    <w:basedOn w:val="Privzetapisavaodstavka"/>
    <w:link w:val="Pripombabesedilo"/>
    <w:uiPriority w:val="99"/>
    <w:semiHidden/>
    <w:rsid w:val="002B67C9"/>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2B67C9"/>
    <w:rPr>
      <w:b/>
      <w:bCs/>
    </w:rPr>
  </w:style>
  <w:style w:type="character" w:customStyle="1" w:styleId="ZadevapripombeZnak">
    <w:name w:val="Zadeva pripombe Znak"/>
    <w:basedOn w:val="PripombabesediloZnak"/>
    <w:link w:val="Zadevapripombe"/>
    <w:uiPriority w:val="99"/>
    <w:semiHidden/>
    <w:rsid w:val="002B67C9"/>
    <w:rPr>
      <w:rFonts w:ascii="Myriad Pro" w:hAnsi="Myriad Pro"/>
      <w:b/>
      <w:bCs/>
      <w:sz w:val="20"/>
      <w:szCs w:val="20"/>
    </w:rPr>
  </w:style>
  <w:style w:type="paragraph" w:styleId="Revizija">
    <w:name w:val="Revision"/>
    <w:hidden/>
    <w:uiPriority w:val="99"/>
    <w:semiHidden/>
    <w:rsid w:val="003D0FA7"/>
    <w:pPr>
      <w:spacing w:after="0" w:line="240" w:lineRule="auto"/>
    </w:pPr>
    <w:rPr>
      <w:rFonts w:ascii="Myriad Pro" w:hAnsi="Myriad Pro"/>
      <w:sz w:val="20"/>
    </w:rPr>
  </w:style>
  <w:style w:type="character" w:styleId="Konnaopomba-sklic">
    <w:name w:val="endnote reference"/>
    <w:basedOn w:val="Privzetapisavaodstavka"/>
    <w:uiPriority w:val="99"/>
    <w:semiHidden/>
    <w:unhideWhenUsed/>
    <w:rsid w:val="000C5DFC"/>
    <w:rPr>
      <w:vertAlign w:val="superscript"/>
    </w:rPr>
  </w:style>
  <w:style w:type="paragraph" w:customStyle="1" w:styleId="Naslov32">
    <w:name w:val="Naslov 32"/>
    <w:basedOn w:val="Navaden"/>
    <w:qFormat/>
    <w:rsid w:val="0078321F"/>
    <w:rPr>
      <w:b/>
    </w:rPr>
  </w:style>
  <w:style w:type="paragraph" w:customStyle="1" w:styleId="TekstgrafEO">
    <w:name w:val="Tekst graf_EO"/>
    <w:basedOn w:val="Navaden"/>
    <w:link w:val="TekstgrafEOChar"/>
    <w:qFormat/>
    <w:rsid w:val="006F69D9"/>
    <w:pPr>
      <w:spacing w:line="240" w:lineRule="auto"/>
      <w:ind w:left="340"/>
    </w:pPr>
    <w:rPr>
      <w:rFonts w:eastAsia="Times New Roman" w:cs="Times New Roman"/>
      <w:sz w:val="18"/>
      <w:szCs w:val="18"/>
    </w:rPr>
  </w:style>
  <w:style w:type="character" w:customStyle="1" w:styleId="TekstgrafEOChar">
    <w:name w:val="Tekst graf_EO Char"/>
    <w:basedOn w:val="Privzetapisavaodstavka"/>
    <w:link w:val="TekstgrafEO"/>
    <w:rsid w:val="006F69D9"/>
    <w:rPr>
      <w:rFonts w:ascii="Myriad Pro" w:eastAsia="Times New Roman" w:hAnsi="Myriad Pro" w:cs="Times New Roman"/>
      <w:sz w:val="18"/>
      <w:szCs w:val="18"/>
    </w:rPr>
  </w:style>
  <w:style w:type="character" w:customStyle="1" w:styleId="normaltextrun">
    <w:name w:val="normaltextrun"/>
    <w:basedOn w:val="Privzetapisavaodstavka"/>
    <w:rsid w:val="006F69D9"/>
  </w:style>
  <w:style w:type="character" w:customStyle="1" w:styleId="Nerazreenaomemba1">
    <w:name w:val="Nerazrešena omemba1"/>
    <w:basedOn w:val="Privzetapisavaodstavka"/>
    <w:uiPriority w:val="99"/>
    <w:semiHidden/>
    <w:unhideWhenUsed/>
    <w:rsid w:val="0090112A"/>
    <w:rPr>
      <w:color w:val="605E5C"/>
      <w:shd w:val="clear" w:color="auto" w:fill="E1DFDD"/>
    </w:rPr>
  </w:style>
  <w:style w:type="character" w:customStyle="1" w:styleId="markedcontent">
    <w:name w:val="markedcontent"/>
    <w:basedOn w:val="Privzetapisavaodstavka"/>
    <w:rsid w:val="001D67CE"/>
  </w:style>
  <w:style w:type="character" w:customStyle="1" w:styleId="Omemba1">
    <w:name w:val="Omemba1"/>
    <w:basedOn w:val="Privzetapisavaodstavka"/>
    <w:uiPriority w:val="99"/>
    <w:unhideWhenUsed/>
    <w:rsid w:val="00DD57A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94E36-AAD7-45A2-9E03-3EA5D09F9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1522</Words>
  <Characters>8676</Characters>
  <Application>Microsoft Office Word</Application>
  <DocSecurity>0</DocSecurity>
  <Lines>72</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2022-11-14T12:10:00Z</dcterms:created>
  <dcterms:modified xsi:type="dcterms:W3CDTF">2022-11-14T12:13:00Z</dcterms:modified>
</cp:coreProperties>
</file>