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EC94A" w14:textId="42E0F30F" w:rsidR="00785D8A" w:rsidRDefault="00785D8A" w:rsidP="001D6793">
      <w:pPr>
        <w:pStyle w:val="Naslov11"/>
      </w:pPr>
    </w:p>
    <w:p w14:paraId="4AD964B5" w14:textId="77777777" w:rsidR="00282975" w:rsidRDefault="00282975" w:rsidP="001D6793">
      <w:pPr>
        <w:pStyle w:val="Naslov11"/>
      </w:pPr>
    </w:p>
    <w:p w14:paraId="1A950F05" w14:textId="5983C04B" w:rsidR="001D6793" w:rsidRPr="00DE72F6" w:rsidRDefault="004B235F" w:rsidP="001D6793">
      <w:pPr>
        <w:pStyle w:val="Naslov11"/>
      </w:pPr>
      <w:r>
        <w:t>C</w:t>
      </w:r>
      <w:r w:rsidR="00EB0A8F">
        <w:t>HARTS OF THE WEEK</w:t>
      </w:r>
    </w:p>
    <w:p w14:paraId="1F1C2573" w14:textId="77777777" w:rsidR="00EA6F4A" w:rsidRDefault="00EA6F4A" w:rsidP="00EA6F4A">
      <w:pPr>
        <w:pStyle w:val="Naslov21"/>
      </w:pPr>
      <w:r>
        <w:t>14–18 November 2022</w:t>
      </w:r>
    </w:p>
    <w:p w14:paraId="15D5795B" w14:textId="77777777" w:rsidR="00EA6F4A" w:rsidRDefault="00EA6F4A" w:rsidP="00EA6F4A"/>
    <w:p w14:paraId="399D63F6" w14:textId="77777777" w:rsidR="00EA6F4A" w:rsidRDefault="00EA6F4A" w:rsidP="00EA6F4A"/>
    <w:p w14:paraId="6610AE47" w14:textId="77777777" w:rsidR="00EA6F4A" w:rsidRDefault="00EA6F4A" w:rsidP="00EA6F4A">
      <w:r>
        <w:t>In the third quarter, GDP fell compared to the second quarter (by 1.4%) and year-on-year growth (3.4%, not seasonally adjusted) was lower than in the first half of the year. After a deficit in the first half of the year, the current account returned to surplus in the third quarter. The terms of trade deteriorated for the seventh consecutive quarter. Uncertainty regarding the availability and prices of energy remains high. At the same time, the consumption of natural gas in Slovenia (and in the EU) has decreased significantly in recent months. This was due to favourable weather conditions and measures to reduce gas consumption and adjust production. Electricity consumption in the distribution network was lower year-on-year in October in all consumption groups. According to data on fiscal verification of invoices, turnover in the first half of November was 6% higher year-on-year in nominal terms, with growth slowing in recent weeks.</w:t>
      </w:r>
      <w:r>
        <w:rPr>
          <w:b/>
        </w:rPr>
        <w:t xml:space="preserve"> </w:t>
      </w:r>
      <w:r>
        <w:t xml:space="preserve">Amid record employment, the rise in the number of people in employment slowed somewhat in September. It remained high especially in construction, which is characterised by a high share of foreign workers and a large labour shortage. </w:t>
      </w:r>
    </w:p>
    <w:p w14:paraId="4A083086" w14:textId="77777777" w:rsidR="00282975" w:rsidRDefault="00282975" w:rsidP="00464F7B">
      <w:pPr>
        <w:tabs>
          <w:tab w:val="left" w:pos="580"/>
        </w:tabs>
      </w:pPr>
    </w:p>
    <w:p w14:paraId="1D7F976D" w14:textId="77777777" w:rsidR="00282975" w:rsidRDefault="00282975" w:rsidP="00464F7B">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104A17" w:rsidRPr="006C2117" w14:paraId="5FDD8B26" w14:textId="77777777" w:rsidTr="00067FBD">
        <w:trPr>
          <w:trHeight w:val="207"/>
        </w:trPr>
        <w:tc>
          <w:tcPr>
            <w:tcW w:w="6663" w:type="dxa"/>
            <w:gridSpan w:val="2"/>
            <w:tcBorders>
              <w:bottom w:val="single" w:sz="4" w:space="0" w:color="auto"/>
            </w:tcBorders>
            <w:tcMar>
              <w:left w:w="0" w:type="dxa"/>
            </w:tcMar>
          </w:tcPr>
          <w:p w14:paraId="0076328B" w14:textId="3F1513EC" w:rsidR="00104A17" w:rsidRPr="006C2117" w:rsidRDefault="00EA6F4A" w:rsidP="00067FBD">
            <w:pPr>
              <w:pStyle w:val="Naslov31"/>
              <w:jc w:val="left"/>
            </w:pPr>
            <w:r>
              <w:t>Gross domestic product, Q3 2022</w:t>
            </w:r>
          </w:p>
        </w:tc>
        <w:tc>
          <w:tcPr>
            <w:tcW w:w="2976" w:type="dxa"/>
            <w:tcBorders>
              <w:bottom w:val="single" w:sz="4" w:space="0" w:color="auto"/>
            </w:tcBorders>
          </w:tcPr>
          <w:p w14:paraId="517DBD8C" w14:textId="77777777" w:rsidR="00104A17" w:rsidRPr="006C2117" w:rsidRDefault="00104A17" w:rsidP="00067FBD">
            <w:pPr>
              <w:pStyle w:val="Naslov31"/>
            </w:pPr>
          </w:p>
        </w:tc>
      </w:tr>
      <w:tr w:rsidR="00F111C3" w:rsidRPr="00DF4F0B" w14:paraId="6587D4B7" w14:textId="77777777" w:rsidTr="00067FBD">
        <w:trPr>
          <w:trHeight w:val="1134"/>
        </w:trPr>
        <w:tc>
          <w:tcPr>
            <w:tcW w:w="4982" w:type="dxa"/>
            <w:tcBorders>
              <w:top w:val="single" w:sz="4" w:space="0" w:color="auto"/>
            </w:tcBorders>
            <w:tcMar>
              <w:left w:w="0" w:type="dxa"/>
            </w:tcMar>
          </w:tcPr>
          <w:p w14:paraId="513011FC" w14:textId="362AABCC" w:rsidR="00F111C3" w:rsidRDefault="00EA6F4A" w:rsidP="00F111C3">
            <w:pPr>
              <w:pStyle w:val="Odstavekseznama"/>
              <w:ind w:left="0"/>
              <w:rPr>
                <w:rFonts w:eastAsia="Arial"/>
                <w:szCs w:val="20"/>
              </w:rPr>
            </w:pPr>
            <w:r>
              <w:rPr>
                <w:rFonts w:eastAsia="Arial"/>
                <w:noProof/>
                <w:szCs w:val="20"/>
              </w:rPr>
              <w:drawing>
                <wp:inline distT="0" distB="0" distL="0" distR="0" wp14:anchorId="441C9AEB" wp14:editId="049EE2BD">
                  <wp:extent cx="3085200" cy="249480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5200" cy="2494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9A40CB2" w14:textId="56A60DBE" w:rsidR="00F111C3" w:rsidRPr="00DF4F0B" w:rsidRDefault="00EA6F4A" w:rsidP="00F111C3">
            <w:pPr>
              <w:spacing w:line="240" w:lineRule="atLeast"/>
              <w:rPr>
                <w:rFonts w:eastAsia="Arial"/>
                <w:szCs w:val="20"/>
              </w:rPr>
            </w:pPr>
            <w:r>
              <w:rPr>
                <w:b/>
              </w:rPr>
              <w:t xml:space="preserve">In the third quarter, GDP fell by 1.4% compared to the second quarter, and the year-on-year growth (3.4%) was lower than in the first half of the year and in line with IMAD’s expectations in its Autumn Forecast. </w:t>
            </w:r>
            <w:r>
              <w:t>Household expenditure growth moderated to 2.6% year-on-year in the summer months as consumer confidence fell and real income declined. Growth was underpinned by the sale of non-food products and services. Investment remained strong in the third quarter, especially in construction. The deterioration in export expectations has not yet had a more pronounced impact on the growth of goods exports, where steady growth continued in the third quarter. This segment has been subject to strong monthly fluctuations since the spring, which are related to the great uncertainty in the international environment. Growth in trade in services also continued, albeit at a somewhat slower pace. The overall growth of exports exceeded the growth of imports, which contributed to a positive external trade balance. General government consumption declined year-on-year after a period of increased growth, with lower expenditure on containment measures and lower state budget expenditure on certain types of goods and services. The contribution from the change in inventories, after high positive values in the first half of the year, was neutral in the third quarter compared to the same period last year.</w:t>
            </w:r>
          </w:p>
        </w:tc>
      </w:tr>
    </w:tbl>
    <w:p w14:paraId="6FF0AB2E" w14:textId="562C478D" w:rsidR="005B4C57" w:rsidRDefault="005B4C57" w:rsidP="00363E63">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688"/>
        <w:gridCol w:w="3969"/>
      </w:tblGrid>
      <w:tr w:rsidR="00EA6F4A" w14:paraId="309E7DD9" w14:textId="77777777" w:rsidTr="002F0951">
        <w:trPr>
          <w:trHeight w:val="207"/>
        </w:trPr>
        <w:tc>
          <w:tcPr>
            <w:tcW w:w="5670" w:type="dxa"/>
            <w:gridSpan w:val="2"/>
            <w:tcBorders>
              <w:bottom w:val="single" w:sz="4" w:space="0" w:color="auto"/>
            </w:tcBorders>
            <w:tcMar>
              <w:left w:w="0" w:type="dxa"/>
            </w:tcMar>
          </w:tcPr>
          <w:p w14:paraId="5870D099" w14:textId="77777777" w:rsidR="00EA6F4A" w:rsidRPr="006C2117" w:rsidRDefault="00EA6F4A" w:rsidP="002F0951">
            <w:pPr>
              <w:pStyle w:val="Naslov31"/>
              <w:jc w:val="left"/>
            </w:pPr>
            <w:r>
              <w:lastRenderedPageBreak/>
              <w:t>Natural gas consumption, August–November 2022</w:t>
            </w:r>
          </w:p>
        </w:tc>
        <w:tc>
          <w:tcPr>
            <w:tcW w:w="3969" w:type="dxa"/>
            <w:tcBorders>
              <w:bottom w:val="single" w:sz="4" w:space="0" w:color="auto"/>
            </w:tcBorders>
          </w:tcPr>
          <w:p w14:paraId="7AFF564B" w14:textId="77777777" w:rsidR="00EA6F4A" w:rsidRPr="006C2117" w:rsidRDefault="00EA6F4A" w:rsidP="002F0951">
            <w:pPr>
              <w:pStyle w:val="Naslov31"/>
            </w:pPr>
          </w:p>
        </w:tc>
      </w:tr>
      <w:tr w:rsidR="00EA6F4A" w14:paraId="1550ED3A" w14:textId="77777777" w:rsidTr="002F0951">
        <w:trPr>
          <w:trHeight w:val="1134"/>
        </w:trPr>
        <w:tc>
          <w:tcPr>
            <w:tcW w:w="4982" w:type="dxa"/>
            <w:tcBorders>
              <w:top w:val="single" w:sz="4" w:space="0" w:color="auto"/>
            </w:tcBorders>
            <w:tcMar>
              <w:left w:w="0" w:type="dxa"/>
            </w:tcMar>
          </w:tcPr>
          <w:p w14:paraId="4B4EB863" w14:textId="3AFE60D4" w:rsidR="00EA6F4A" w:rsidRDefault="00EA6F4A" w:rsidP="002F0951">
            <w:pPr>
              <w:pStyle w:val="Odstavekseznama"/>
              <w:ind w:left="0"/>
            </w:pPr>
            <w:r>
              <w:rPr>
                <w:noProof/>
              </w:rPr>
              <w:drawing>
                <wp:inline distT="0" distB="0" distL="0" distR="0" wp14:anchorId="5FCB6640" wp14:editId="4BD57D6E">
                  <wp:extent cx="3096000" cy="254520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545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6047D8A" w14:textId="77777777" w:rsidR="00EA6F4A" w:rsidRPr="00DF4F0B" w:rsidRDefault="00EA6F4A" w:rsidP="002F0951">
            <w:r>
              <w:rPr>
                <w:b/>
              </w:rPr>
              <w:t>Natural gas consumption in August and September was below the comparable average consumption of the last five years (by 14% and 11% respectively),</w:t>
            </w:r>
            <w:r w:rsidRPr="0067410E">
              <w:rPr>
                <w:rStyle w:val="Sprotnaopomba-sklic"/>
              </w:rPr>
              <w:footnoteReference w:id="2"/>
            </w:r>
            <w:r>
              <w:rPr>
                <w:b/>
              </w:rPr>
              <w:t xml:space="preserve"> while the decline in October (22%) and November was even more pronounced due to this year’s warm autumn. </w:t>
            </w:r>
            <w:r>
              <w:t>According to Eurostat, the average decline in gas consumption in EU Member States in August was the same as in Slovenia, and in September it was slightly higher (13%). Lower consumption is underpinned by various measures taken by EU Member States to reduce gas consumption and by adaptation of various industries to rising prices of gas by reducing its consumption. The warmer-than-average weather in the last two months has also contributed to lower consumption and to the fact that European gas storage capacities were almost completely filled during this period.</w:t>
            </w:r>
            <w:r w:rsidRPr="0067410E">
              <w:rPr>
                <w:rStyle w:val="Sprotnaopomba-sklic"/>
              </w:rPr>
              <w:footnoteReference w:id="3"/>
            </w:r>
            <w:r>
              <w:t xml:space="preserve"> According to preliminary data, gas consumption in Slovenia from 1 August to 21 November 2022 (including the announced consumption for the last few days) was more than 16% lower than the comparable average consumption over the last five years.</w:t>
            </w:r>
          </w:p>
        </w:tc>
      </w:tr>
    </w:tbl>
    <w:p w14:paraId="5CA99898" w14:textId="77777777" w:rsidR="00EA6F4A" w:rsidRDefault="00EA6F4A" w:rsidP="00EA6F4A">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21"/>
        <w:gridCol w:w="4536"/>
      </w:tblGrid>
      <w:tr w:rsidR="00EA6F4A" w14:paraId="409328AF" w14:textId="77777777" w:rsidTr="002F0951">
        <w:trPr>
          <w:trHeight w:val="207"/>
        </w:trPr>
        <w:tc>
          <w:tcPr>
            <w:tcW w:w="5103" w:type="dxa"/>
            <w:gridSpan w:val="2"/>
            <w:tcBorders>
              <w:bottom w:val="single" w:sz="4" w:space="0" w:color="auto"/>
            </w:tcBorders>
            <w:tcMar>
              <w:left w:w="0" w:type="dxa"/>
            </w:tcMar>
          </w:tcPr>
          <w:p w14:paraId="714FE6D8" w14:textId="77777777" w:rsidR="00EA6F4A" w:rsidRPr="006C2117" w:rsidRDefault="00EA6F4A" w:rsidP="002F0951">
            <w:pPr>
              <w:pStyle w:val="Naslov31"/>
              <w:jc w:val="left"/>
            </w:pPr>
            <w:r>
              <w:t>Electricity consumption by consumption group, October 2022</w:t>
            </w:r>
          </w:p>
        </w:tc>
        <w:tc>
          <w:tcPr>
            <w:tcW w:w="4536" w:type="dxa"/>
            <w:tcBorders>
              <w:bottom w:val="single" w:sz="4" w:space="0" w:color="auto"/>
            </w:tcBorders>
          </w:tcPr>
          <w:p w14:paraId="2157CE54" w14:textId="77777777" w:rsidR="00EA6F4A" w:rsidRPr="006C2117" w:rsidRDefault="00EA6F4A" w:rsidP="002F0951">
            <w:pPr>
              <w:pStyle w:val="Naslov31"/>
            </w:pPr>
          </w:p>
        </w:tc>
      </w:tr>
      <w:tr w:rsidR="00EA6F4A" w14:paraId="59F235DE" w14:textId="77777777" w:rsidTr="002F0951">
        <w:trPr>
          <w:trHeight w:val="1134"/>
        </w:trPr>
        <w:tc>
          <w:tcPr>
            <w:tcW w:w="4982" w:type="dxa"/>
            <w:tcBorders>
              <w:top w:val="single" w:sz="4" w:space="0" w:color="auto"/>
            </w:tcBorders>
            <w:tcMar>
              <w:left w:w="0" w:type="dxa"/>
            </w:tcMar>
          </w:tcPr>
          <w:p w14:paraId="688C95F1" w14:textId="424775B7" w:rsidR="00EA6F4A" w:rsidRDefault="0070284D" w:rsidP="002F0951">
            <w:pPr>
              <w:pStyle w:val="Odstavekseznama"/>
              <w:ind w:left="0"/>
            </w:pPr>
            <w:r>
              <w:rPr>
                <w:noProof/>
              </w:rPr>
              <w:drawing>
                <wp:inline distT="0" distB="0" distL="0" distR="0" wp14:anchorId="2440EDE2" wp14:editId="4A7BC6CB">
                  <wp:extent cx="3092400" cy="25308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4612C9E" w14:textId="77777777" w:rsidR="00EA6F4A" w:rsidRPr="00447A62" w:rsidRDefault="00EA6F4A" w:rsidP="002F0951">
            <w:pPr>
              <w:rPr>
                <w:b/>
                <w:bCs/>
              </w:rPr>
            </w:pPr>
            <w:r>
              <w:rPr>
                <w:b/>
              </w:rPr>
              <w:t xml:space="preserve">In October, electricity consumption in the distribution network was lower year-on-year in all consumption groups. </w:t>
            </w:r>
            <w:r>
              <w:t>The strongest decrease was in industrial consumption (by 7.1%). This is mainly due to the lower consumption by some energy-intensive companies, which reduced their production volume due to high electricity prices, but were also able to reorganise their production processes and introduce more modern technologies, which made them more energy efficient. Due to a more rational use of energy, household consumption and small business consumption</w:t>
            </w:r>
            <w:r w:rsidRPr="0067410E">
              <w:rPr>
                <w:rStyle w:val="Sprotnaopomba-sklic"/>
              </w:rPr>
              <w:footnoteReference w:id="4"/>
            </w:r>
            <w:r>
              <w:t xml:space="preserve"> were also lower year-on-year in October (by 4.3% and 2.2% respectively).</w:t>
            </w:r>
          </w:p>
          <w:p w14:paraId="4EF9A315" w14:textId="77777777" w:rsidR="00EA6F4A" w:rsidRPr="00DF4F0B" w:rsidRDefault="00EA6F4A" w:rsidP="002F0951"/>
        </w:tc>
      </w:tr>
    </w:tbl>
    <w:p w14:paraId="3C096C4D" w14:textId="77777777" w:rsidR="00EA6F4A" w:rsidRDefault="00EA6F4A" w:rsidP="00EA6F4A">
      <w:pPr>
        <w:tabs>
          <w:tab w:val="left" w:pos="580"/>
        </w:tabs>
      </w:pPr>
    </w:p>
    <w:p w14:paraId="508C99F7" w14:textId="77777777" w:rsidR="00EA6F4A" w:rsidRDefault="00EA6F4A" w:rsidP="00EA6F4A">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815"/>
        <w:gridCol w:w="1842"/>
      </w:tblGrid>
      <w:tr w:rsidR="00EA6F4A" w:rsidRPr="006C2117" w14:paraId="3CF66AD9" w14:textId="77777777" w:rsidTr="00EA6F4A">
        <w:trPr>
          <w:trHeight w:val="207"/>
        </w:trPr>
        <w:tc>
          <w:tcPr>
            <w:tcW w:w="7797" w:type="dxa"/>
            <w:gridSpan w:val="2"/>
            <w:tcBorders>
              <w:bottom w:val="single" w:sz="4" w:space="0" w:color="auto"/>
            </w:tcBorders>
            <w:tcMar>
              <w:left w:w="0" w:type="dxa"/>
            </w:tcMar>
          </w:tcPr>
          <w:p w14:paraId="3CFB8A53" w14:textId="77777777" w:rsidR="00EA6F4A" w:rsidRPr="006C2117" w:rsidRDefault="00EA6F4A" w:rsidP="002F0951">
            <w:pPr>
              <w:pStyle w:val="Naslov32"/>
              <w:jc w:val="left"/>
            </w:pPr>
            <w:r>
              <w:lastRenderedPageBreak/>
              <w:t>Value of fiscally verified invoices, in nominal terms, 30 October–12 November 2022</w:t>
            </w:r>
          </w:p>
        </w:tc>
        <w:tc>
          <w:tcPr>
            <w:tcW w:w="1842" w:type="dxa"/>
            <w:tcBorders>
              <w:bottom w:val="single" w:sz="4" w:space="0" w:color="auto"/>
            </w:tcBorders>
          </w:tcPr>
          <w:p w14:paraId="18F653B8" w14:textId="77777777" w:rsidR="00EA6F4A" w:rsidRPr="006C2117" w:rsidRDefault="00EA6F4A" w:rsidP="002F0951">
            <w:pPr>
              <w:pStyle w:val="Naslov32"/>
            </w:pPr>
          </w:p>
        </w:tc>
      </w:tr>
      <w:tr w:rsidR="00EA6F4A" w:rsidRPr="007D1395" w14:paraId="3403C978" w14:textId="77777777" w:rsidTr="002F0951">
        <w:trPr>
          <w:trHeight w:val="1134"/>
        </w:trPr>
        <w:tc>
          <w:tcPr>
            <w:tcW w:w="4982" w:type="dxa"/>
            <w:tcBorders>
              <w:top w:val="single" w:sz="4" w:space="0" w:color="auto"/>
            </w:tcBorders>
            <w:tcMar>
              <w:left w:w="0" w:type="dxa"/>
            </w:tcMar>
          </w:tcPr>
          <w:p w14:paraId="546DD8BA" w14:textId="6E031EC1" w:rsidR="00EA6F4A" w:rsidRDefault="00EA6F4A" w:rsidP="002F0951">
            <w:pPr>
              <w:pStyle w:val="Odstavekseznama"/>
              <w:ind w:left="0"/>
              <w:rPr>
                <w:noProof/>
              </w:rPr>
            </w:pPr>
            <w:r>
              <w:rPr>
                <w:noProof/>
              </w:rPr>
              <w:drawing>
                <wp:inline distT="0" distB="0" distL="0" distR="0" wp14:anchorId="1707BBEB" wp14:editId="08BFBDA4">
                  <wp:extent cx="3078000" cy="24408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000" cy="244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2251783" w14:textId="5358A17C" w:rsidR="00EA6F4A" w:rsidRPr="007D1395" w:rsidRDefault="00EA6F4A" w:rsidP="00EA6F4A">
            <w:pPr>
              <w:rPr>
                <w:rFonts w:eastAsia="Myriad Pro" w:cs="Myriad Pro"/>
                <w:color w:val="000000" w:themeColor="text1"/>
                <w:lang w:val="sl"/>
              </w:rPr>
            </w:pPr>
            <w:r>
              <w:rPr>
                <w:b/>
                <w:color w:val="000000" w:themeColor="text1"/>
              </w:rPr>
              <w:t>The value of fiscally verified invoices between 30 October and 12 November 2022, which was marked by high price growth and had one less working day compared to the same period last year, was 6% higher year-on-year in nominal terms and 12% higher than in the same period of 2019.</w:t>
            </w:r>
            <w:r>
              <w:rPr>
                <w:color w:val="000000" w:themeColor="text1"/>
              </w:rPr>
              <w:t xml:space="preserve"> Year-on-year growth, which has strengthened since mid-September mainly due to last year’s lower base,</w:t>
            </w:r>
            <w:r w:rsidRPr="0067410E">
              <w:rPr>
                <w:rStyle w:val="Sprotnaopomba-sklic"/>
              </w:rPr>
              <w:footnoteReference w:id="5"/>
            </w:r>
            <w:r>
              <w:rPr>
                <w:color w:val="000000" w:themeColor="text1"/>
              </w:rPr>
              <w:t xml:space="preserve"> has more than halved in the last two weeks. This was mainly due to the timing of public holidays and one fewer working day this year, which was reflected in particular in lower nominal growth in turnover in trade, which accounted for slightly more than three quarters of the total value of fiscally verified invoices. </w:t>
            </w:r>
            <w:r>
              <w:t>Nominal growth of turnover in accommodation and food service activities strengthened significantly (to 23%), due to more than a tenth higher year-on-year turnover in accommodation establishments and the 29% increase in year-on-year turnover in the service of food and beverages  due to stricter COVID-19 restrictions in the same period last year (recovered/vaccinated/tested rule).</w:t>
            </w:r>
          </w:p>
        </w:tc>
      </w:tr>
    </w:tbl>
    <w:p w14:paraId="68D7BA9A" w14:textId="77777777" w:rsidR="00EA6F4A" w:rsidRDefault="00EA6F4A" w:rsidP="00EA6F4A">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830"/>
        <w:gridCol w:w="3827"/>
      </w:tblGrid>
      <w:tr w:rsidR="00EA6F4A" w:rsidRPr="007A0B59" w14:paraId="0E60DEB7" w14:textId="77777777" w:rsidTr="00EA6F4A">
        <w:trPr>
          <w:trHeight w:val="207"/>
        </w:trPr>
        <w:tc>
          <w:tcPr>
            <w:tcW w:w="5812" w:type="dxa"/>
            <w:gridSpan w:val="2"/>
            <w:tcBorders>
              <w:bottom w:val="single" w:sz="4" w:space="0" w:color="auto"/>
            </w:tcBorders>
            <w:tcMar>
              <w:left w:w="0" w:type="dxa"/>
            </w:tcMar>
          </w:tcPr>
          <w:p w14:paraId="017226F4" w14:textId="77777777" w:rsidR="00EA6F4A" w:rsidRPr="007A0B59" w:rsidRDefault="00EA6F4A" w:rsidP="002F0951">
            <w:pPr>
              <w:pStyle w:val="Naslov31"/>
              <w:jc w:val="left"/>
            </w:pPr>
            <w:r>
              <w:t xml:space="preserve">Current account of the balance of payments, September 2022 </w:t>
            </w:r>
          </w:p>
        </w:tc>
        <w:tc>
          <w:tcPr>
            <w:tcW w:w="3827" w:type="dxa"/>
            <w:tcBorders>
              <w:bottom w:val="single" w:sz="4" w:space="0" w:color="auto"/>
            </w:tcBorders>
          </w:tcPr>
          <w:p w14:paraId="134D0FB9" w14:textId="77777777" w:rsidR="00EA6F4A" w:rsidRPr="007A0B59" w:rsidRDefault="00EA6F4A" w:rsidP="002F0951">
            <w:pPr>
              <w:pStyle w:val="Naslov31"/>
            </w:pPr>
          </w:p>
        </w:tc>
      </w:tr>
      <w:tr w:rsidR="00EA6F4A" w:rsidRPr="00916FC4" w14:paraId="5267BD99" w14:textId="77777777" w:rsidTr="002F0951">
        <w:trPr>
          <w:trHeight w:val="1134"/>
        </w:trPr>
        <w:tc>
          <w:tcPr>
            <w:tcW w:w="4982" w:type="dxa"/>
            <w:tcBorders>
              <w:top w:val="single" w:sz="4" w:space="0" w:color="auto"/>
            </w:tcBorders>
            <w:tcMar>
              <w:left w:w="0" w:type="dxa"/>
            </w:tcMar>
          </w:tcPr>
          <w:p w14:paraId="6B451585" w14:textId="463E05EB" w:rsidR="0067410E" w:rsidRDefault="0067410E" w:rsidP="002F0951">
            <w:pPr>
              <w:pStyle w:val="Odstavekseznama"/>
              <w:ind w:left="0"/>
              <w:rPr>
                <w:noProof/>
              </w:rPr>
            </w:pPr>
            <w:bookmarkStart w:id="0" w:name="_GoBack"/>
            <w:r>
              <w:rPr>
                <w:noProof/>
              </w:rPr>
              <w:drawing>
                <wp:inline distT="0" distB="0" distL="0" distR="0" wp14:anchorId="52B90009" wp14:editId="5475E6B4">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354CBB6E" w14:textId="1245647B" w:rsidR="00EA6F4A" w:rsidRDefault="00EA6F4A" w:rsidP="002F0951">
            <w:pPr>
              <w:pStyle w:val="Odstavekseznama"/>
              <w:ind w:left="0"/>
            </w:pPr>
          </w:p>
        </w:tc>
        <w:tc>
          <w:tcPr>
            <w:tcW w:w="4657" w:type="dxa"/>
            <w:gridSpan w:val="2"/>
            <w:tcBorders>
              <w:top w:val="single" w:sz="4" w:space="0" w:color="auto"/>
            </w:tcBorders>
            <w:tcMar>
              <w:left w:w="284" w:type="dxa"/>
            </w:tcMar>
          </w:tcPr>
          <w:p w14:paraId="5BBF3BD8" w14:textId="77777777" w:rsidR="00EA6F4A" w:rsidRPr="00916FC4" w:rsidRDefault="00EA6F4A" w:rsidP="002F0951">
            <w:r>
              <w:rPr>
                <w:b/>
                <w:bCs/>
              </w:rPr>
              <w:t>After a deficit in the first half of the year, the current account balance recorded a surplus again in the third quarter; the terms of trade deteriorated for the seventh consecutive quarter.</w:t>
            </w:r>
            <w:r>
              <w:t xml:space="preserve"> The surplus amounted to EUR 304.7 million and was significantly lower compared to the same quarter last year (EUR 559.5 million). This was mainly due to trade in goods, as the real increase in imports of goods was higher than that in exports, given the deteriorating terms of trade. The terms of trade deteriorated year-on-year in the third quarter by 1.9%, which is less than in previous quarters, and contributed about one fifth to the change in the nominal trade balance (by EUR 443 million). The services surplus was higher than a year ago, especially in travel and transportation services. Net outflows of primary and secondary income were higher than a year ago. The primary income deficit was higher year-on-year in the third quarter due to larger payments of income on equity, direct investments and more customs duties paid to the EU budget due to the import of electric vehicles for the EU market (via the port of Koper), while the secondary income deficit was due to higher private sector transfers abroad. In the first nine months of this year, the current account was close to a balance (deficit of EUR 4 million). </w:t>
            </w:r>
          </w:p>
        </w:tc>
      </w:tr>
      <w:bookmarkEnd w:id="0"/>
      <w:tr w:rsidR="00EA6F4A" w14:paraId="02B32A46" w14:textId="77777777" w:rsidTr="00EA6F4A">
        <w:trPr>
          <w:trHeight w:val="207"/>
        </w:trPr>
        <w:tc>
          <w:tcPr>
            <w:tcW w:w="5812" w:type="dxa"/>
            <w:gridSpan w:val="2"/>
            <w:tcBorders>
              <w:bottom w:val="single" w:sz="4" w:space="0" w:color="auto"/>
            </w:tcBorders>
            <w:tcMar>
              <w:left w:w="0" w:type="dxa"/>
            </w:tcMar>
          </w:tcPr>
          <w:p w14:paraId="2A4C7A58" w14:textId="77777777" w:rsidR="00EA6F4A" w:rsidRPr="006C2117" w:rsidRDefault="00EA6F4A" w:rsidP="002F0951">
            <w:pPr>
              <w:pStyle w:val="Naslov31"/>
              <w:jc w:val="left"/>
            </w:pPr>
            <w:r>
              <w:lastRenderedPageBreak/>
              <w:t xml:space="preserve">Activity in construction, September 2022 </w:t>
            </w:r>
          </w:p>
        </w:tc>
        <w:tc>
          <w:tcPr>
            <w:tcW w:w="3827" w:type="dxa"/>
            <w:tcBorders>
              <w:bottom w:val="single" w:sz="4" w:space="0" w:color="auto"/>
            </w:tcBorders>
          </w:tcPr>
          <w:p w14:paraId="52FE5942" w14:textId="77777777" w:rsidR="00EA6F4A" w:rsidRPr="006C2117" w:rsidRDefault="00EA6F4A" w:rsidP="002F0951">
            <w:pPr>
              <w:pStyle w:val="Naslov31"/>
            </w:pPr>
          </w:p>
        </w:tc>
      </w:tr>
      <w:tr w:rsidR="00EA6F4A" w:rsidRPr="00916FC4" w14:paraId="59D28D1E" w14:textId="77777777" w:rsidTr="002F0951">
        <w:trPr>
          <w:trHeight w:val="1134"/>
        </w:trPr>
        <w:tc>
          <w:tcPr>
            <w:tcW w:w="4982" w:type="dxa"/>
            <w:tcBorders>
              <w:top w:val="single" w:sz="4" w:space="0" w:color="auto"/>
            </w:tcBorders>
            <w:tcMar>
              <w:left w:w="0" w:type="dxa"/>
            </w:tcMar>
          </w:tcPr>
          <w:p w14:paraId="2E69651F" w14:textId="706583E2" w:rsidR="00EA6F4A" w:rsidRDefault="0070284D" w:rsidP="002F0951">
            <w:pPr>
              <w:pStyle w:val="Odstavekseznama"/>
              <w:ind w:left="0"/>
            </w:pPr>
            <w:r>
              <w:rPr>
                <w:noProof/>
              </w:rPr>
              <w:drawing>
                <wp:inline distT="0" distB="0" distL="0" distR="0" wp14:anchorId="651590BF" wp14:editId="01816C9E">
                  <wp:extent cx="3078000" cy="2505600"/>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000" cy="2505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C5917C1" w14:textId="77777777" w:rsidR="00EA6F4A" w:rsidRPr="00916FC4" w:rsidRDefault="00EA6F4A" w:rsidP="002F0951">
            <w:r>
              <w:rPr>
                <w:b/>
              </w:rPr>
              <w:t>According to figures on the value of construction work put in place, construction activity in September was considerably higher year-on-year.</w:t>
            </w:r>
            <w:r>
              <w:rPr>
                <w:b/>
                <w:sz w:val="18"/>
              </w:rPr>
              <w:t xml:space="preserve"> </w:t>
            </w:r>
            <w:r>
              <w:t xml:space="preserve">After a strong upturn at the beginning of the year, the value of construction work remained at a high level during the rest of the year and was 26.1% higher in September than a year ago. Compared to previous years, construction of buildings stands out; activity was also high in civil engineering, while it was lower in specialised construction work (installation works and building completion). The implicit deflator of the value of completed construction works (used to measure prices in the construction sector) was 18% in September, which is slightly less than in previous months. </w:t>
            </w:r>
          </w:p>
          <w:p w14:paraId="20F10827" w14:textId="77777777" w:rsidR="00EA6F4A" w:rsidRPr="00916FC4" w:rsidRDefault="00EA6F4A" w:rsidP="002F0951">
            <w:r>
              <w:t>However, data on VAT suggest a significantly lower construction activity. According to these data, the activity of construction companies in the first nine months was 6% higher than last year. Based on data on the value of construction put in place, the difference in the growth of activity was 20 p.p.</w:t>
            </w:r>
            <w:r>
              <w:rPr>
                <w:rFonts w:ascii="Arial" w:hAnsi="Arial"/>
              </w:rPr>
              <w:t> </w:t>
            </w:r>
          </w:p>
        </w:tc>
      </w:tr>
    </w:tbl>
    <w:p w14:paraId="7D7CA6A4" w14:textId="77777777" w:rsidR="00EA6F4A" w:rsidRDefault="00EA6F4A" w:rsidP="00EA6F4A">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A6F4A" w:rsidRPr="007A0B59" w14:paraId="2E6D04BC" w14:textId="77777777" w:rsidTr="002F0951">
        <w:trPr>
          <w:trHeight w:val="207"/>
        </w:trPr>
        <w:tc>
          <w:tcPr>
            <w:tcW w:w="4819" w:type="dxa"/>
            <w:tcBorders>
              <w:bottom w:val="single" w:sz="4" w:space="0" w:color="auto"/>
            </w:tcBorders>
            <w:tcMar>
              <w:left w:w="0" w:type="dxa"/>
            </w:tcMar>
          </w:tcPr>
          <w:p w14:paraId="3211CD40" w14:textId="77777777" w:rsidR="00EA6F4A" w:rsidRPr="007A0B59" w:rsidRDefault="00EA6F4A" w:rsidP="002F0951">
            <w:pPr>
              <w:pStyle w:val="Naslov31"/>
              <w:jc w:val="left"/>
            </w:pPr>
            <w:r>
              <w:t xml:space="preserve">Number of persons in employment, September 2022 </w:t>
            </w:r>
          </w:p>
        </w:tc>
        <w:tc>
          <w:tcPr>
            <w:tcW w:w="4820" w:type="dxa"/>
            <w:gridSpan w:val="2"/>
            <w:tcBorders>
              <w:bottom w:val="single" w:sz="4" w:space="0" w:color="auto"/>
            </w:tcBorders>
          </w:tcPr>
          <w:p w14:paraId="6FFBEAD6" w14:textId="77777777" w:rsidR="00EA6F4A" w:rsidRPr="007A0B59" w:rsidRDefault="00EA6F4A" w:rsidP="002F0951">
            <w:pPr>
              <w:pStyle w:val="Naslov31"/>
            </w:pPr>
          </w:p>
        </w:tc>
      </w:tr>
      <w:tr w:rsidR="00EA6F4A" w:rsidRPr="00DF4F0B" w14:paraId="20D6162B" w14:textId="77777777" w:rsidTr="002F0951">
        <w:trPr>
          <w:trHeight w:val="1134"/>
        </w:trPr>
        <w:tc>
          <w:tcPr>
            <w:tcW w:w="4982" w:type="dxa"/>
            <w:gridSpan w:val="2"/>
            <w:tcBorders>
              <w:top w:val="single" w:sz="4" w:space="0" w:color="auto"/>
            </w:tcBorders>
            <w:tcMar>
              <w:left w:w="0" w:type="dxa"/>
            </w:tcMar>
          </w:tcPr>
          <w:p w14:paraId="275B76D7" w14:textId="1617F6CD" w:rsidR="00EA6F4A" w:rsidRDefault="0070284D" w:rsidP="002F0951">
            <w:pPr>
              <w:pStyle w:val="Odstavekseznama"/>
              <w:ind w:left="0"/>
            </w:pPr>
            <w:r>
              <w:rPr>
                <w:noProof/>
              </w:rPr>
              <w:drawing>
                <wp:inline distT="0" distB="0" distL="0" distR="0" wp14:anchorId="485593F5" wp14:editId="3063D304">
                  <wp:extent cx="3092400" cy="243360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433600"/>
                          </a:xfrm>
                          <a:prstGeom prst="rect">
                            <a:avLst/>
                          </a:prstGeom>
                          <a:noFill/>
                        </pic:spPr>
                      </pic:pic>
                    </a:graphicData>
                  </a:graphic>
                </wp:inline>
              </w:drawing>
            </w:r>
          </w:p>
        </w:tc>
        <w:tc>
          <w:tcPr>
            <w:tcW w:w="4657" w:type="dxa"/>
            <w:tcBorders>
              <w:top w:val="single" w:sz="4" w:space="0" w:color="auto"/>
            </w:tcBorders>
            <w:tcMar>
              <w:left w:w="284" w:type="dxa"/>
            </w:tcMar>
          </w:tcPr>
          <w:p w14:paraId="7AEAE813" w14:textId="77777777" w:rsidR="00EA6F4A" w:rsidRPr="00DF4F0B" w:rsidRDefault="00EA6F4A" w:rsidP="002F0951">
            <w:r>
              <w:rPr>
                <w:b/>
                <w:bCs/>
              </w:rPr>
              <w:t>As the number of people in employment reached record high, year-on-year growth in September was 2.2%, slightly lower than in previous months.</w:t>
            </w:r>
            <w:r>
              <w:t> It remained high in construction, which faces major labour shortages. Employment of foreign workers has recently been increasingly contributing to overall growth in the number of people in employment – in September, foreign workers contributed 76% to year-on-year employment growth. Consequently, the share of foreign nationals among all persons in employment is also increasing, up 1.4 p.p. to 13.7% in the last year. Activities with the largest share of foreign workers are construction (47%), transportation and storage (32%) and administrative and support service activities (26%). In the first nine months, the number of people in employment rose by an average of 2.7% year-on-year.</w:t>
            </w:r>
          </w:p>
        </w:tc>
      </w:tr>
    </w:tbl>
    <w:p w14:paraId="7BC1CD7A" w14:textId="54F4B8AE" w:rsidR="00EA6F4A" w:rsidRDefault="00EA6F4A" w:rsidP="00363E63">
      <w:pPr>
        <w:tabs>
          <w:tab w:val="left" w:pos="580"/>
        </w:tabs>
      </w:pPr>
    </w:p>
    <w:p w14:paraId="4B5DD2B0" w14:textId="69687DDB" w:rsidR="00EA6F4A" w:rsidRDefault="00EA6F4A" w:rsidP="00363E63">
      <w:pPr>
        <w:tabs>
          <w:tab w:val="left" w:pos="580"/>
        </w:tabs>
      </w:pPr>
    </w:p>
    <w:p w14:paraId="68B1252E" w14:textId="77777777" w:rsidR="00EA6F4A" w:rsidRDefault="00EA6F4A" w:rsidP="00363E63">
      <w:pPr>
        <w:tabs>
          <w:tab w:val="left" w:pos="580"/>
        </w:tabs>
      </w:pPr>
    </w:p>
    <w:p w14:paraId="22475C0D" w14:textId="77777777" w:rsidR="00FE7254" w:rsidRPr="00FE7254" w:rsidRDefault="00FE7254" w:rsidP="00FE7254">
      <w:pPr>
        <w:sectPr w:rsidR="00FE7254" w:rsidRPr="00FE7254" w:rsidSect="00363E63">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26A312A6" w14:textId="24232D86" w:rsidR="002E69B6" w:rsidRPr="00887D7E" w:rsidRDefault="00EA6F4A" w:rsidP="00C26C8D">
      <w:pPr>
        <w:tabs>
          <w:tab w:val="left" w:pos="580"/>
        </w:tabs>
      </w:pPr>
      <w:r w:rsidRPr="00EA6F4A">
        <w:rPr>
          <w:noProof/>
        </w:rPr>
        <w:lastRenderedPageBreak/>
        <w:drawing>
          <wp:inline distT="0" distB="0" distL="0" distR="0" wp14:anchorId="2431E396" wp14:editId="39011C2F">
            <wp:extent cx="6120130" cy="83870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387080"/>
                    </a:xfrm>
                    <a:prstGeom prst="rect">
                      <a:avLst/>
                    </a:prstGeom>
                    <a:noFill/>
                    <a:ln>
                      <a:noFill/>
                    </a:ln>
                  </pic:spPr>
                </pic:pic>
              </a:graphicData>
            </a:graphic>
          </wp:inline>
        </w:drawing>
      </w:r>
    </w:p>
    <w:sectPr w:rsidR="002E69B6" w:rsidRPr="00887D7E"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A4240" w14:textId="77777777" w:rsidR="00DF62AD" w:rsidRDefault="00DF62AD" w:rsidP="0063497B">
      <w:pPr>
        <w:spacing w:line="240" w:lineRule="auto"/>
      </w:pPr>
      <w:r>
        <w:separator/>
      </w:r>
    </w:p>
  </w:endnote>
  <w:endnote w:type="continuationSeparator" w:id="0">
    <w:p w14:paraId="1451DB96" w14:textId="77777777" w:rsidR="00DF62AD" w:rsidRDefault="00DF62AD" w:rsidP="0063497B">
      <w:pPr>
        <w:spacing w:line="240" w:lineRule="auto"/>
      </w:pPr>
      <w:r>
        <w:continuationSeparator/>
      </w:r>
    </w:p>
  </w:endnote>
  <w:endnote w:type="continuationNotice" w:id="1">
    <w:p w14:paraId="78E5D8E4" w14:textId="77777777" w:rsidR="00DF62AD" w:rsidRDefault="00DF62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14FAED65" w:rsidR="004039B6" w:rsidRPr="00363E63" w:rsidRDefault="004039B6" w:rsidP="00363E63">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b w:val="0"/>
        <w:sz w:val="18"/>
      </w:rPr>
      <w:tab/>
    </w:r>
    <w:r>
      <w:rPr>
        <w:sz w:val="18"/>
      </w:rPr>
      <w:t xml:space="preserve"> </w:t>
    </w:r>
    <w:sdt>
      <w:sdtPr>
        <w:rPr>
          <w:sz w:val="18"/>
          <w:szCs w:val="18"/>
        </w:rPr>
        <w:id w:val="-65268520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06F0C0C" w:rsidR="004039B6" w:rsidRPr="00363E63" w:rsidRDefault="004039B6" w:rsidP="00363E63">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b w:val="0"/>
        <w:sz w:val="18"/>
      </w:rPr>
      <w:tab/>
    </w:r>
    <w:r>
      <w:rPr>
        <w:sz w:val="18"/>
      </w:rPr>
      <w:t xml:space="preserve"> </w:t>
    </w:r>
    <w:sdt>
      <w:sdtPr>
        <w:rPr>
          <w:sz w:val="18"/>
          <w:szCs w:val="18"/>
        </w:rPr>
        <w:id w:val="-89402759"/>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Pr="00363E63">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4039B6" w:rsidRPr="00C26C8D" w:rsidRDefault="004039B6" w:rsidP="00C26C8D">
    <w:pPr>
      <w:pStyle w:val="Naslov31"/>
      <w:tabs>
        <w:tab w:val="right" w:pos="9638"/>
      </w:tabs>
      <w:jc w:val="left"/>
      <w:rPr>
        <w:b w:val="0"/>
        <w:sz w:val="18"/>
        <w:szCs w:val="18"/>
      </w:rPr>
    </w:pPr>
    <w:r>
      <w:rPr>
        <w:b w:val="0"/>
        <w:sz w:val="18"/>
      </w:rPr>
      <w:t>The table format accessible to screen reader users can be found on the IMAD website among the appendices to the current graphs of the week (Selected macroeconomic indicators for Slovenia).</w:t>
    </w:r>
  </w:p>
  <w:p w14:paraId="67C0D3BB" w14:textId="77777777" w:rsidR="004039B6" w:rsidRPr="00C26C8D" w:rsidRDefault="004039B6" w:rsidP="00C26C8D">
    <w:pPr>
      <w:pStyle w:val="Naslov31"/>
      <w:tabs>
        <w:tab w:val="right" w:pos="9638"/>
      </w:tabs>
      <w:jc w:val="left"/>
      <w:rPr>
        <w:b w:val="0"/>
        <w:sz w:val="18"/>
        <w:szCs w:val="18"/>
      </w:rPr>
    </w:pPr>
  </w:p>
  <w:p w14:paraId="6B87A005" w14:textId="77777777" w:rsidR="004039B6" w:rsidRPr="00363E63" w:rsidRDefault="004039B6" w:rsidP="00C26C8D">
    <w:pPr>
      <w:pStyle w:val="Naslov31"/>
      <w:tabs>
        <w:tab w:val="right" w:pos="9638"/>
      </w:tabs>
      <w:jc w:val="left"/>
      <w:rPr>
        <w:b w:val="0"/>
        <w:sz w:val="18"/>
        <w:szCs w:val="18"/>
      </w:rPr>
    </w:pPr>
    <w:r>
      <w:rPr>
        <w:sz w:val="18"/>
      </w:rPr>
      <w:t xml:space="preserve">More information: </w:t>
    </w:r>
    <w:r>
      <w:rPr>
        <w:b w:val="0"/>
        <w:sz w:val="18"/>
      </w:rPr>
      <w:t>phone: +386 1 478 10 04, e-mail: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2AD17" w14:textId="77777777" w:rsidR="00DF62AD" w:rsidRDefault="00DF62AD" w:rsidP="0063497B">
      <w:pPr>
        <w:spacing w:line="240" w:lineRule="auto"/>
      </w:pPr>
      <w:r>
        <w:separator/>
      </w:r>
    </w:p>
  </w:footnote>
  <w:footnote w:type="continuationSeparator" w:id="0">
    <w:p w14:paraId="17A267B1" w14:textId="77777777" w:rsidR="00DF62AD" w:rsidRDefault="00DF62AD" w:rsidP="0063497B">
      <w:pPr>
        <w:spacing w:line="240" w:lineRule="auto"/>
      </w:pPr>
      <w:r>
        <w:continuationSeparator/>
      </w:r>
    </w:p>
  </w:footnote>
  <w:footnote w:type="continuationNotice" w:id="1">
    <w:p w14:paraId="1C596AD5" w14:textId="77777777" w:rsidR="00DF62AD" w:rsidRDefault="00DF62AD">
      <w:pPr>
        <w:spacing w:line="240" w:lineRule="auto"/>
      </w:pPr>
    </w:p>
  </w:footnote>
  <w:footnote w:id="2">
    <w:p w14:paraId="2B468046" w14:textId="77777777" w:rsidR="00EA6F4A" w:rsidRPr="00CC7D8B" w:rsidRDefault="00EA6F4A" w:rsidP="00EA6F4A">
      <w:pPr>
        <w:spacing w:line="240" w:lineRule="auto"/>
        <w:rPr>
          <w:rFonts w:eastAsia="Myriad Pro" w:cs="Myriad Pro"/>
          <w:sz w:val="16"/>
          <w:szCs w:val="16"/>
        </w:rPr>
      </w:pPr>
      <w:r w:rsidRPr="0067410E">
        <w:rPr>
          <w:rStyle w:val="Sprotnaopomba-sklic"/>
        </w:rPr>
        <w:footnoteRef/>
      </w:r>
      <w:r>
        <w:rPr>
          <w:sz w:val="16"/>
          <w:szCs w:val="16"/>
        </w:rPr>
        <w:t xml:space="preserve"> </w:t>
      </w:r>
      <w:r w:rsidRPr="00894075">
        <w:rPr>
          <w:sz w:val="16"/>
          <w:szCs w:val="16"/>
        </w:rPr>
        <w:t>In accordance with Council Regulation (EU) 2022/1369 of 5 August 2022 on coordinated demand-reduction measures for gas, in the period from 1 August 2022 to 31 March 2023 all EU Member States have to reduce their gas consumption by at least 15% compared to their average consumption over the same period over the last five years.</w:t>
      </w:r>
    </w:p>
  </w:footnote>
  <w:footnote w:id="3">
    <w:p w14:paraId="4AB3B5DA" w14:textId="77777777" w:rsidR="00EA6F4A" w:rsidRDefault="00EA6F4A" w:rsidP="00EA6F4A">
      <w:pPr>
        <w:pStyle w:val="Sprotnaopomba-besedilo"/>
      </w:pPr>
      <w:r w:rsidRPr="0067410E">
        <w:rPr>
          <w:rStyle w:val="Sprotnaopomba-sklic"/>
        </w:rPr>
        <w:footnoteRef/>
      </w:r>
      <w:r>
        <w:t xml:space="preserve"> According to Plinovodi, gas storage capacities in the EU were over 95.5% full on 12 November 2022.</w:t>
      </w:r>
    </w:p>
  </w:footnote>
  <w:footnote w:id="4">
    <w:p w14:paraId="6B543D6A" w14:textId="77777777" w:rsidR="00EA6F4A" w:rsidRDefault="00EA6F4A" w:rsidP="00EA6F4A">
      <w:pPr>
        <w:pStyle w:val="Sprotnaopomba-besedilo"/>
      </w:pPr>
      <w:r w:rsidRPr="0067410E">
        <w:rPr>
          <w:rStyle w:val="Sprotnaopomba-sklic"/>
        </w:rPr>
        <w:footnoteRef/>
      </w:r>
      <w:r>
        <w:t xml:space="preserve"> In this consumption group, consumption is most frequently measured in shops and service activities. This group also includes warehouses, agricultural activity, etc. and large manufacturing plants that do not consume significant amounts of electricity at some measurement points.</w:t>
      </w:r>
    </w:p>
  </w:footnote>
  <w:footnote w:id="5">
    <w:p w14:paraId="19C507D1" w14:textId="77777777" w:rsidR="00EA6F4A" w:rsidRDefault="00EA6F4A" w:rsidP="00EA6F4A">
      <w:pPr>
        <w:pStyle w:val="Sprotnaopomba-besedilo"/>
      </w:pPr>
      <w:r w:rsidRPr="0067410E">
        <w:rPr>
          <w:rStyle w:val="Sprotnaopomba-sklic"/>
        </w:rPr>
        <w:footnoteRef/>
      </w:r>
      <w:r>
        <w:t xml:space="preserve"> In mid-September last year, the recovered/vaccinated/tested rule was extended to users of most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19F7ECBF" w:rsidR="004039B6" w:rsidRDefault="00C421AA" w:rsidP="00C421AA">
    <w:pPr>
      <w:tabs>
        <w:tab w:val="left" w:pos="196"/>
        <w:tab w:val="right" w:pos="9638"/>
      </w:tabs>
      <w:jc w:val="left"/>
    </w:pPr>
    <w:r>
      <w:tab/>
    </w:r>
    <w:r w:rsidRPr="00763932">
      <w:rPr>
        <w:noProof/>
      </w:rPr>
      <w:drawing>
        <wp:anchor distT="0" distB="0" distL="114300" distR="114300" simplePos="0" relativeHeight="251659264" behindDoc="0" locked="0" layoutInCell="1" allowOverlap="1" wp14:anchorId="1AE18303" wp14:editId="586BD76A">
          <wp:simplePos x="0" y="0"/>
          <wp:positionH relativeFrom="column">
            <wp:posOffset>0</wp:posOffset>
          </wp:positionH>
          <wp:positionV relativeFrom="paragraph">
            <wp:posOffset>158750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ab/>
    </w:r>
    <w:r w:rsidR="00EA6F4A">
      <w:t>21</w:t>
    </w:r>
    <w:r w:rsidR="004039B6">
      <w:t xml:space="preserve"> November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4039B6" w:rsidRPr="00C26C8D" w:rsidRDefault="004039B6" w:rsidP="00C26C8D">
    <w:pPr>
      <w:pStyle w:val="Glava"/>
      <w:rPr>
        <w:b/>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38D"/>
    <w:rsid w:val="00001002"/>
    <w:rsid w:val="00004D56"/>
    <w:rsid w:val="00005E4B"/>
    <w:rsid w:val="000063F3"/>
    <w:rsid w:val="00014A64"/>
    <w:rsid w:val="00016923"/>
    <w:rsid w:val="000172FC"/>
    <w:rsid w:val="0002391A"/>
    <w:rsid w:val="00024EF0"/>
    <w:rsid w:val="000257A3"/>
    <w:rsid w:val="00026AAA"/>
    <w:rsid w:val="000300E3"/>
    <w:rsid w:val="00030B4F"/>
    <w:rsid w:val="000328BF"/>
    <w:rsid w:val="00036F96"/>
    <w:rsid w:val="000407E8"/>
    <w:rsid w:val="00041021"/>
    <w:rsid w:val="0004105E"/>
    <w:rsid w:val="0004116E"/>
    <w:rsid w:val="0004410D"/>
    <w:rsid w:val="00052107"/>
    <w:rsid w:val="0005322C"/>
    <w:rsid w:val="00054458"/>
    <w:rsid w:val="00055BD4"/>
    <w:rsid w:val="00056250"/>
    <w:rsid w:val="00056990"/>
    <w:rsid w:val="00061F03"/>
    <w:rsid w:val="00062E0D"/>
    <w:rsid w:val="00063442"/>
    <w:rsid w:val="00064E87"/>
    <w:rsid w:val="00065065"/>
    <w:rsid w:val="00065B72"/>
    <w:rsid w:val="00066060"/>
    <w:rsid w:val="00070313"/>
    <w:rsid w:val="000703C7"/>
    <w:rsid w:val="00070B6E"/>
    <w:rsid w:val="00073C2B"/>
    <w:rsid w:val="00077F13"/>
    <w:rsid w:val="000802F5"/>
    <w:rsid w:val="00080F49"/>
    <w:rsid w:val="000814B2"/>
    <w:rsid w:val="00083B7F"/>
    <w:rsid w:val="00085356"/>
    <w:rsid w:val="00087E6A"/>
    <w:rsid w:val="00092592"/>
    <w:rsid w:val="00096101"/>
    <w:rsid w:val="00097DD5"/>
    <w:rsid w:val="000A3AC0"/>
    <w:rsid w:val="000A5502"/>
    <w:rsid w:val="000A5A42"/>
    <w:rsid w:val="000A63A5"/>
    <w:rsid w:val="000A7860"/>
    <w:rsid w:val="000A7BDC"/>
    <w:rsid w:val="000B0215"/>
    <w:rsid w:val="000B1ACC"/>
    <w:rsid w:val="000B2332"/>
    <w:rsid w:val="000B2627"/>
    <w:rsid w:val="000B308B"/>
    <w:rsid w:val="000B4941"/>
    <w:rsid w:val="000B5B96"/>
    <w:rsid w:val="000C3382"/>
    <w:rsid w:val="000C450B"/>
    <w:rsid w:val="000C5DFC"/>
    <w:rsid w:val="000C6234"/>
    <w:rsid w:val="000D3F8B"/>
    <w:rsid w:val="000D4661"/>
    <w:rsid w:val="000D6B56"/>
    <w:rsid w:val="000D7845"/>
    <w:rsid w:val="000D7CBC"/>
    <w:rsid w:val="000E0B03"/>
    <w:rsid w:val="000E4E37"/>
    <w:rsid w:val="000F1A79"/>
    <w:rsid w:val="000F5315"/>
    <w:rsid w:val="000F63ED"/>
    <w:rsid w:val="001009D0"/>
    <w:rsid w:val="00101E8B"/>
    <w:rsid w:val="00103653"/>
    <w:rsid w:val="00104A17"/>
    <w:rsid w:val="00106658"/>
    <w:rsid w:val="00106AA5"/>
    <w:rsid w:val="00110B3C"/>
    <w:rsid w:val="00111DFE"/>
    <w:rsid w:val="00112B3E"/>
    <w:rsid w:val="00115501"/>
    <w:rsid w:val="00115E8D"/>
    <w:rsid w:val="00115FC5"/>
    <w:rsid w:val="00116668"/>
    <w:rsid w:val="00120162"/>
    <w:rsid w:val="00123A5A"/>
    <w:rsid w:val="00123CAF"/>
    <w:rsid w:val="00123D52"/>
    <w:rsid w:val="001255CD"/>
    <w:rsid w:val="0012725B"/>
    <w:rsid w:val="00127822"/>
    <w:rsid w:val="00131206"/>
    <w:rsid w:val="0013156D"/>
    <w:rsid w:val="00133E20"/>
    <w:rsid w:val="00133EFF"/>
    <w:rsid w:val="00137BB4"/>
    <w:rsid w:val="0014161A"/>
    <w:rsid w:val="00145808"/>
    <w:rsid w:val="00150890"/>
    <w:rsid w:val="00150D0F"/>
    <w:rsid w:val="0016111E"/>
    <w:rsid w:val="00161807"/>
    <w:rsid w:val="00162E99"/>
    <w:rsid w:val="00167096"/>
    <w:rsid w:val="001710B9"/>
    <w:rsid w:val="00175B27"/>
    <w:rsid w:val="00176407"/>
    <w:rsid w:val="00181CF5"/>
    <w:rsid w:val="00182319"/>
    <w:rsid w:val="00182D5E"/>
    <w:rsid w:val="00183D75"/>
    <w:rsid w:val="001847BE"/>
    <w:rsid w:val="00187D02"/>
    <w:rsid w:val="00187DC1"/>
    <w:rsid w:val="001908FA"/>
    <w:rsid w:val="00190B5F"/>
    <w:rsid w:val="0019138D"/>
    <w:rsid w:val="00192B58"/>
    <w:rsid w:val="00195170"/>
    <w:rsid w:val="0019522D"/>
    <w:rsid w:val="00196C57"/>
    <w:rsid w:val="00196F7A"/>
    <w:rsid w:val="001A0B7D"/>
    <w:rsid w:val="001A0C6A"/>
    <w:rsid w:val="001A0C98"/>
    <w:rsid w:val="001A3E47"/>
    <w:rsid w:val="001A44D4"/>
    <w:rsid w:val="001A587F"/>
    <w:rsid w:val="001A7DB1"/>
    <w:rsid w:val="001B19DD"/>
    <w:rsid w:val="001B475E"/>
    <w:rsid w:val="001B535B"/>
    <w:rsid w:val="001B6AE7"/>
    <w:rsid w:val="001B7402"/>
    <w:rsid w:val="001B754A"/>
    <w:rsid w:val="001C03A0"/>
    <w:rsid w:val="001C2D69"/>
    <w:rsid w:val="001C3E55"/>
    <w:rsid w:val="001C573B"/>
    <w:rsid w:val="001C63A6"/>
    <w:rsid w:val="001D00C6"/>
    <w:rsid w:val="001D1DF5"/>
    <w:rsid w:val="001D2917"/>
    <w:rsid w:val="001D3E77"/>
    <w:rsid w:val="001D6793"/>
    <w:rsid w:val="001D67CE"/>
    <w:rsid w:val="001D76BE"/>
    <w:rsid w:val="001E3587"/>
    <w:rsid w:val="001E3956"/>
    <w:rsid w:val="001E66B1"/>
    <w:rsid w:val="001E6B1A"/>
    <w:rsid w:val="001F43C7"/>
    <w:rsid w:val="001F4E8F"/>
    <w:rsid w:val="001F51CD"/>
    <w:rsid w:val="001F5764"/>
    <w:rsid w:val="0020057C"/>
    <w:rsid w:val="00200D3A"/>
    <w:rsid w:val="002040EA"/>
    <w:rsid w:val="00205183"/>
    <w:rsid w:val="0020683D"/>
    <w:rsid w:val="00207774"/>
    <w:rsid w:val="00213015"/>
    <w:rsid w:val="00215DA0"/>
    <w:rsid w:val="0022245A"/>
    <w:rsid w:val="002229E0"/>
    <w:rsid w:val="00222F75"/>
    <w:rsid w:val="00224B63"/>
    <w:rsid w:val="00224E92"/>
    <w:rsid w:val="0022644C"/>
    <w:rsid w:val="00226C04"/>
    <w:rsid w:val="0023585B"/>
    <w:rsid w:val="002362D3"/>
    <w:rsid w:val="00236656"/>
    <w:rsid w:val="002374F8"/>
    <w:rsid w:val="0024119A"/>
    <w:rsid w:val="00242C71"/>
    <w:rsid w:val="0024323E"/>
    <w:rsid w:val="00243593"/>
    <w:rsid w:val="0024378B"/>
    <w:rsid w:val="002461D2"/>
    <w:rsid w:val="00246CF1"/>
    <w:rsid w:val="002511CF"/>
    <w:rsid w:val="00252C70"/>
    <w:rsid w:val="00252E25"/>
    <w:rsid w:val="00253AF0"/>
    <w:rsid w:val="002551D9"/>
    <w:rsid w:val="00255F95"/>
    <w:rsid w:val="00262DFF"/>
    <w:rsid w:val="0026341B"/>
    <w:rsid w:val="0026509A"/>
    <w:rsid w:val="0027134B"/>
    <w:rsid w:val="00271747"/>
    <w:rsid w:val="0027220A"/>
    <w:rsid w:val="0027286B"/>
    <w:rsid w:val="00274D3F"/>
    <w:rsid w:val="00282975"/>
    <w:rsid w:val="00286348"/>
    <w:rsid w:val="0028665C"/>
    <w:rsid w:val="00290CA7"/>
    <w:rsid w:val="00290E5B"/>
    <w:rsid w:val="00290FE7"/>
    <w:rsid w:val="00291679"/>
    <w:rsid w:val="0029266D"/>
    <w:rsid w:val="0029405F"/>
    <w:rsid w:val="00294675"/>
    <w:rsid w:val="00296BEC"/>
    <w:rsid w:val="002A2EAC"/>
    <w:rsid w:val="002A4083"/>
    <w:rsid w:val="002A62E5"/>
    <w:rsid w:val="002A6B6E"/>
    <w:rsid w:val="002A6C31"/>
    <w:rsid w:val="002B025E"/>
    <w:rsid w:val="002B058F"/>
    <w:rsid w:val="002B0B7D"/>
    <w:rsid w:val="002B0C95"/>
    <w:rsid w:val="002B113D"/>
    <w:rsid w:val="002B2825"/>
    <w:rsid w:val="002B4319"/>
    <w:rsid w:val="002B4C3A"/>
    <w:rsid w:val="002B5361"/>
    <w:rsid w:val="002B58A7"/>
    <w:rsid w:val="002B617D"/>
    <w:rsid w:val="002B67C9"/>
    <w:rsid w:val="002C1486"/>
    <w:rsid w:val="002C1BBB"/>
    <w:rsid w:val="002C2763"/>
    <w:rsid w:val="002C3028"/>
    <w:rsid w:val="002C54F0"/>
    <w:rsid w:val="002C5AFE"/>
    <w:rsid w:val="002C74C3"/>
    <w:rsid w:val="002C75CC"/>
    <w:rsid w:val="002C78B6"/>
    <w:rsid w:val="002D46EF"/>
    <w:rsid w:val="002D569A"/>
    <w:rsid w:val="002D753B"/>
    <w:rsid w:val="002D7557"/>
    <w:rsid w:val="002D75AF"/>
    <w:rsid w:val="002D77C5"/>
    <w:rsid w:val="002E20DD"/>
    <w:rsid w:val="002E2802"/>
    <w:rsid w:val="002E3127"/>
    <w:rsid w:val="002E498F"/>
    <w:rsid w:val="002E64A4"/>
    <w:rsid w:val="002E69B6"/>
    <w:rsid w:val="002E6F0D"/>
    <w:rsid w:val="002E6FAD"/>
    <w:rsid w:val="002F00BB"/>
    <w:rsid w:val="002F0448"/>
    <w:rsid w:val="002F137A"/>
    <w:rsid w:val="002F1E94"/>
    <w:rsid w:val="002F3DDC"/>
    <w:rsid w:val="002F45CB"/>
    <w:rsid w:val="002F50F5"/>
    <w:rsid w:val="002F569D"/>
    <w:rsid w:val="003004EA"/>
    <w:rsid w:val="00301473"/>
    <w:rsid w:val="00301B51"/>
    <w:rsid w:val="00305883"/>
    <w:rsid w:val="00306274"/>
    <w:rsid w:val="00306767"/>
    <w:rsid w:val="00310734"/>
    <w:rsid w:val="00312D09"/>
    <w:rsid w:val="00313051"/>
    <w:rsid w:val="003134CD"/>
    <w:rsid w:val="003159CC"/>
    <w:rsid w:val="00321F5F"/>
    <w:rsid w:val="00325038"/>
    <w:rsid w:val="00325655"/>
    <w:rsid w:val="0032707E"/>
    <w:rsid w:val="0033042F"/>
    <w:rsid w:val="003305D2"/>
    <w:rsid w:val="00330DEB"/>
    <w:rsid w:val="00331DD6"/>
    <w:rsid w:val="003338FC"/>
    <w:rsid w:val="00333B2F"/>
    <w:rsid w:val="0034156F"/>
    <w:rsid w:val="00342F7A"/>
    <w:rsid w:val="0034385F"/>
    <w:rsid w:val="003443B1"/>
    <w:rsid w:val="00345706"/>
    <w:rsid w:val="00346E79"/>
    <w:rsid w:val="00350A64"/>
    <w:rsid w:val="003524EB"/>
    <w:rsid w:val="00353C0B"/>
    <w:rsid w:val="0035658B"/>
    <w:rsid w:val="00356832"/>
    <w:rsid w:val="00360974"/>
    <w:rsid w:val="003627F2"/>
    <w:rsid w:val="00363E63"/>
    <w:rsid w:val="003640E5"/>
    <w:rsid w:val="0036467E"/>
    <w:rsid w:val="00364A8F"/>
    <w:rsid w:val="00365D68"/>
    <w:rsid w:val="00365F1F"/>
    <w:rsid w:val="00366D68"/>
    <w:rsid w:val="0037053F"/>
    <w:rsid w:val="00371828"/>
    <w:rsid w:val="0037436E"/>
    <w:rsid w:val="00374467"/>
    <w:rsid w:val="00374B90"/>
    <w:rsid w:val="00375E9D"/>
    <w:rsid w:val="0037709E"/>
    <w:rsid w:val="00380056"/>
    <w:rsid w:val="003819C3"/>
    <w:rsid w:val="00381F22"/>
    <w:rsid w:val="003831A6"/>
    <w:rsid w:val="0038500A"/>
    <w:rsid w:val="00385029"/>
    <w:rsid w:val="003853C9"/>
    <w:rsid w:val="00386C31"/>
    <w:rsid w:val="003877A0"/>
    <w:rsid w:val="00390947"/>
    <w:rsid w:val="0039118A"/>
    <w:rsid w:val="00394109"/>
    <w:rsid w:val="00394FBC"/>
    <w:rsid w:val="00395339"/>
    <w:rsid w:val="00396859"/>
    <w:rsid w:val="003974F8"/>
    <w:rsid w:val="003A1B12"/>
    <w:rsid w:val="003A23E4"/>
    <w:rsid w:val="003A26B5"/>
    <w:rsid w:val="003A282F"/>
    <w:rsid w:val="003A49D8"/>
    <w:rsid w:val="003B14A1"/>
    <w:rsid w:val="003B55C2"/>
    <w:rsid w:val="003B76CF"/>
    <w:rsid w:val="003B7B25"/>
    <w:rsid w:val="003C0556"/>
    <w:rsid w:val="003C1005"/>
    <w:rsid w:val="003C2454"/>
    <w:rsid w:val="003C3C52"/>
    <w:rsid w:val="003C44D9"/>
    <w:rsid w:val="003C614E"/>
    <w:rsid w:val="003C6951"/>
    <w:rsid w:val="003D0FA7"/>
    <w:rsid w:val="003D1203"/>
    <w:rsid w:val="003D4B84"/>
    <w:rsid w:val="003D58DF"/>
    <w:rsid w:val="003D5C8D"/>
    <w:rsid w:val="003D75D8"/>
    <w:rsid w:val="003D7826"/>
    <w:rsid w:val="003D7D52"/>
    <w:rsid w:val="003E0230"/>
    <w:rsid w:val="003E1919"/>
    <w:rsid w:val="003E5239"/>
    <w:rsid w:val="003E5ADA"/>
    <w:rsid w:val="003E5C15"/>
    <w:rsid w:val="003E64D6"/>
    <w:rsid w:val="003E6772"/>
    <w:rsid w:val="003F30E4"/>
    <w:rsid w:val="003F4C1B"/>
    <w:rsid w:val="003F760F"/>
    <w:rsid w:val="003F76A6"/>
    <w:rsid w:val="00401154"/>
    <w:rsid w:val="00401E9F"/>
    <w:rsid w:val="00402A16"/>
    <w:rsid w:val="004038B8"/>
    <w:rsid w:val="004039B6"/>
    <w:rsid w:val="004041D4"/>
    <w:rsid w:val="00407123"/>
    <w:rsid w:val="0040719E"/>
    <w:rsid w:val="004079CD"/>
    <w:rsid w:val="00407D91"/>
    <w:rsid w:val="004123A3"/>
    <w:rsid w:val="0041409A"/>
    <w:rsid w:val="00414881"/>
    <w:rsid w:val="00415098"/>
    <w:rsid w:val="004204B9"/>
    <w:rsid w:val="004205FD"/>
    <w:rsid w:val="004249D5"/>
    <w:rsid w:val="004255B4"/>
    <w:rsid w:val="00426DEC"/>
    <w:rsid w:val="004271E0"/>
    <w:rsid w:val="00431E69"/>
    <w:rsid w:val="00431EDD"/>
    <w:rsid w:val="00432AF1"/>
    <w:rsid w:val="00434CC7"/>
    <w:rsid w:val="004364C9"/>
    <w:rsid w:val="004368FB"/>
    <w:rsid w:val="00440CF1"/>
    <w:rsid w:val="00441823"/>
    <w:rsid w:val="00443234"/>
    <w:rsid w:val="00445954"/>
    <w:rsid w:val="00446303"/>
    <w:rsid w:val="0044650F"/>
    <w:rsid w:val="00452589"/>
    <w:rsid w:val="00452804"/>
    <w:rsid w:val="004533D3"/>
    <w:rsid w:val="004541AF"/>
    <w:rsid w:val="0045444B"/>
    <w:rsid w:val="00454E68"/>
    <w:rsid w:val="00455141"/>
    <w:rsid w:val="00457981"/>
    <w:rsid w:val="00457D7C"/>
    <w:rsid w:val="00460477"/>
    <w:rsid w:val="00461BCB"/>
    <w:rsid w:val="00462BA6"/>
    <w:rsid w:val="004636A5"/>
    <w:rsid w:val="00464D01"/>
    <w:rsid w:val="00464F7B"/>
    <w:rsid w:val="00467144"/>
    <w:rsid w:val="0046726B"/>
    <w:rsid w:val="00467D2C"/>
    <w:rsid w:val="004712B8"/>
    <w:rsid w:val="004729A1"/>
    <w:rsid w:val="00472EF9"/>
    <w:rsid w:val="0047514E"/>
    <w:rsid w:val="00477274"/>
    <w:rsid w:val="00478854"/>
    <w:rsid w:val="00480580"/>
    <w:rsid w:val="0048123F"/>
    <w:rsid w:val="00484A06"/>
    <w:rsid w:val="00485BB1"/>
    <w:rsid w:val="00485C90"/>
    <w:rsid w:val="004958DF"/>
    <w:rsid w:val="00496E7F"/>
    <w:rsid w:val="004970E5"/>
    <w:rsid w:val="00497983"/>
    <w:rsid w:val="00497D53"/>
    <w:rsid w:val="004A00F0"/>
    <w:rsid w:val="004A3049"/>
    <w:rsid w:val="004A37A6"/>
    <w:rsid w:val="004A574A"/>
    <w:rsid w:val="004A6A8D"/>
    <w:rsid w:val="004B013F"/>
    <w:rsid w:val="004B0B17"/>
    <w:rsid w:val="004B235F"/>
    <w:rsid w:val="004B2A84"/>
    <w:rsid w:val="004B307A"/>
    <w:rsid w:val="004B3F10"/>
    <w:rsid w:val="004B4240"/>
    <w:rsid w:val="004B49B6"/>
    <w:rsid w:val="004C0A16"/>
    <w:rsid w:val="004C278D"/>
    <w:rsid w:val="004C2835"/>
    <w:rsid w:val="004C30D1"/>
    <w:rsid w:val="004D0C06"/>
    <w:rsid w:val="004D14A6"/>
    <w:rsid w:val="004D1C88"/>
    <w:rsid w:val="004D209D"/>
    <w:rsid w:val="004D2BC3"/>
    <w:rsid w:val="004D2D1C"/>
    <w:rsid w:val="004D3A0A"/>
    <w:rsid w:val="004D4230"/>
    <w:rsid w:val="004D63EF"/>
    <w:rsid w:val="004E107A"/>
    <w:rsid w:val="004E1AF2"/>
    <w:rsid w:val="004E1F41"/>
    <w:rsid w:val="004E2181"/>
    <w:rsid w:val="004F14D6"/>
    <w:rsid w:val="004F320B"/>
    <w:rsid w:val="004F3835"/>
    <w:rsid w:val="004F4C5E"/>
    <w:rsid w:val="004F61F1"/>
    <w:rsid w:val="004F72E3"/>
    <w:rsid w:val="005026DA"/>
    <w:rsid w:val="0050276E"/>
    <w:rsid w:val="00504D5D"/>
    <w:rsid w:val="00505BC3"/>
    <w:rsid w:val="00506E6D"/>
    <w:rsid w:val="0051467A"/>
    <w:rsid w:val="00514776"/>
    <w:rsid w:val="00516A64"/>
    <w:rsid w:val="00520115"/>
    <w:rsid w:val="005224F3"/>
    <w:rsid w:val="0052505D"/>
    <w:rsid w:val="0053090A"/>
    <w:rsid w:val="0053221D"/>
    <w:rsid w:val="005326CC"/>
    <w:rsid w:val="00533109"/>
    <w:rsid w:val="00534457"/>
    <w:rsid w:val="00534CF7"/>
    <w:rsid w:val="00534DB0"/>
    <w:rsid w:val="005361E9"/>
    <w:rsid w:val="00537BE2"/>
    <w:rsid w:val="0054158F"/>
    <w:rsid w:val="0054283D"/>
    <w:rsid w:val="005468A2"/>
    <w:rsid w:val="00546DBF"/>
    <w:rsid w:val="00554270"/>
    <w:rsid w:val="00555358"/>
    <w:rsid w:val="00555A80"/>
    <w:rsid w:val="00561C9A"/>
    <w:rsid w:val="0056680E"/>
    <w:rsid w:val="00566D6E"/>
    <w:rsid w:val="00573CF2"/>
    <w:rsid w:val="0058006D"/>
    <w:rsid w:val="0058052D"/>
    <w:rsid w:val="005806D5"/>
    <w:rsid w:val="00583799"/>
    <w:rsid w:val="00590856"/>
    <w:rsid w:val="005965AF"/>
    <w:rsid w:val="005977D2"/>
    <w:rsid w:val="005A2EF5"/>
    <w:rsid w:val="005A3E07"/>
    <w:rsid w:val="005A527F"/>
    <w:rsid w:val="005A55A9"/>
    <w:rsid w:val="005A70C8"/>
    <w:rsid w:val="005A7DEB"/>
    <w:rsid w:val="005B0C7D"/>
    <w:rsid w:val="005B34B5"/>
    <w:rsid w:val="005B4C57"/>
    <w:rsid w:val="005B624C"/>
    <w:rsid w:val="005B6FC5"/>
    <w:rsid w:val="005C2C5C"/>
    <w:rsid w:val="005C32FC"/>
    <w:rsid w:val="005C3B6F"/>
    <w:rsid w:val="005C489E"/>
    <w:rsid w:val="005C4D2E"/>
    <w:rsid w:val="005D285A"/>
    <w:rsid w:val="005D3726"/>
    <w:rsid w:val="005D4A3C"/>
    <w:rsid w:val="005D4C6E"/>
    <w:rsid w:val="005D6C9F"/>
    <w:rsid w:val="005D71A4"/>
    <w:rsid w:val="005E27EA"/>
    <w:rsid w:val="005E3103"/>
    <w:rsid w:val="005E52A4"/>
    <w:rsid w:val="005E6F08"/>
    <w:rsid w:val="005F1277"/>
    <w:rsid w:val="005F2004"/>
    <w:rsid w:val="005F3338"/>
    <w:rsid w:val="005F39BF"/>
    <w:rsid w:val="005F5C51"/>
    <w:rsid w:val="005F6124"/>
    <w:rsid w:val="005F6C7A"/>
    <w:rsid w:val="00600E28"/>
    <w:rsid w:val="0060240D"/>
    <w:rsid w:val="0060300C"/>
    <w:rsid w:val="00603E58"/>
    <w:rsid w:val="00607015"/>
    <w:rsid w:val="00612374"/>
    <w:rsid w:val="00613F54"/>
    <w:rsid w:val="00613F73"/>
    <w:rsid w:val="00614A02"/>
    <w:rsid w:val="006223DC"/>
    <w:rsid w:val="00623BBE"/>
    <w:rsid w:val="006269CE"/>
    <w:rsid w:val="00632222"/>
    <w:rsid w:val="0063497B"/>
    <w:rsid w:val="00637D5B"/>
    <w:rsid w:val="0064215F"/>
    <w:rsid w:val="006421BC"/>
    <w:rsid w:val="00643ACC"/>
    <w:rsid w:val="0064439E"/>
    <w:rsid w:val="0064509B"/>
    <w:rsid w:val="006469E3"/>
    <w:rsid w:val="00646D18"/>
    <w:rsid w:val="00650921"/>
    <w:rsid w:val="0065163F"/>
    <w:rsid w:val="00652795"/>
    <w:rsid w:val="006541EF"/>
    <w:rsid w:val="0065447B"/>
    <w:rsid w:val="00654FA7"/>
    <w:rsid w:val="006571E5"/>
    <w:rsid w:val="00657585"/>
    <w:rsid w:val="0066125C"/>
    <w:rsid w:val="00662E1E"/>
    <w:rsid w:val="0066322D"/>
    <w:rsid w:val="00671853"/>
    <w:rsid w:val="00671AA4"/>
    <w:rsid w:val="0067410E"/>
    <w:rsid w:val="00676CFB"/>
    <w:rsid w:val="006778A3"/>
    <w:rsid w:val="006779CB"/>
    <w:rsid w:val="00681569"/>
    <w:rsid w:val="006851CA"/>
    <w:rsid w:val="006875F1"/>
    <w:rsid w:val="00687A6B"/>
    <w:rsid w:val="006965FC"/>
    <w:rsid w:val="006972A6"/>
    <w:rsid w:val="006979EF"/>
    <w:rsid w:val="006A15CC"/>
    <w:rsid w:val="006A4C51"/>
    <w:rsid w:val="006A595B"/>
    <w:rsid w:val="006A6820"/>
    <w:rsid w:val="006A7079"/>
    <w:rsid w:val="006B1AA3"/>
    <w:rsid w:val="006B3D19"/>
    <w:rsid w:val="006B60A0"/>
    <w:rsid w:val="006B7430"/>
    <w:rsid w:val="006B7DA3"/>
    <w:rsid w:val="006C2117"/>
    <w:rsid w:val="006C2E31"/>
    <w:rsid w:val="006C5682"/>
    <w:rsid w:val="006C6657"/>
    <w:rsid w:val="006C66CB"/>
    <w:rsid w:val="006C6A50"/>
    <w:rsid w:val="006C6FC9"/>
    <w:rsid w:val="006C7DB4"/>
    <w:rsid w:val="006D02FC"/>
    <w:rsid w:val="006D298E"/>
    <w:rsid w:val="006D3EED"/>
    <w:rsid w:val="006E0B51"/>
    <w:rsid w:val="006E1C81"/>
    <w:rsid w:val="006E308B"/>
    <w:rsid w:val="006E6B3C"/>
    <w:rsid w:val="006F3B53"/>
    <w:rsid w:val="006F3E4A"/>
    <w:rsid w:val="006F69D9"/>
    <w:rsid w:val="007016EF"/>
    <w:rsid w:val="0070284D"/>
    <w:rsid w:val="007046A2"/>
    <w:rsid w:val="007049EC"/>
    <w:rsid w:val="0070791A"/>
    <w:rsid w:val="007104F6"/>
    <w:rsid w:val="007115FD"/>
    <w:rsid w:val="00711823"/>
    <w:rsid w:val="007121F2"/>
    <w:rsid w:val="00713284"/>
    <w:rsid w:val="00714319"/>
    <w:rsid w:val="00716468"/>
    <w:rsid w:val="007176BE"/>
    <w:rsid w:val="007222C4"/>
    <w:rsid w:val="00722548"/>
    <w:rsid w:val="00722635"/>
    <w:rsid w:val="00723863"/>
    <w:rsid w:val="007271A2"/>
    <w:rsid w:val="00731125"/>
    <w:rsid w:val="00731B6F"/>
    <w:rsid w:val="00732918"/>
    <w:rsid w:val="00737361"/>
    <w:rsid w:val="0074452D"/>
    <w:rsid w:val="0074466E"/>
    <w:rsid w:val="00744E82"/>
    <w:rsid w:val="00746B13"/>
    <w:rsid w:val="00750B0D"/>
    <w:rsid w:val="007511AD"/>
    <w:rsid w:val="00751346"/>
    <w:rsid w:val="0075169C"/>
    <w:rsid w:val="007521B6"/>
    <w:rsid w:val="00753D4C"/>
    <w:rsid w:val="00754F0A"/>
    <w:rsid w:val="00762194"/>
    <w:rsid w:val="00764915"/>
    <w:rsid w:val="007651E8"/>
    <w:rsid w:val="00766241"/>
    <w:rsid w:val="00770DF9"/>
    <w:rsid w:val="00771468"/>
    <w:rsid w:val="00771D42"/>
    <w:rsid w:val="00777337"/>
    <w:rsid w:val="00780895"/>
    <w:rsid w:val="00782026"/>
    <w:rsid w:val="0078321F"/>
    <w:rsid w:val="007850C0"/>
    <w:rsid w:val="00785D8A"/>
    <w:rsid w:val="00786303"/>
    <w:rsid w:val="00787A5C"/>
    <w:rsid w:val="00790E73"/>
    <w:rsid w:val="00793AEA"/>
    <w:rsid w:val="0079410F"/>
    <w:rsid w:val="00795200"/>
    <w:rsid w:val="007971E2"/>
    <w:rsid w:val="007A0267"/>
    <w:rsid w:val="007A0B59"/>
    <w:rsid w:val="007A1CD0"/>
    <w:rsid w:val="007A24C5"/>
    <w:rsid w:val="007A34B0"/>
    <w:rsid w:val="007A3A82"/>
    <w:rsid w:val="007A414F"/>
    <w:rsid w:val="007A79D4"/>
    <w:rsid w:val="007B189A"/>
    <w:rsid w:val="007B6C89"/>
    <w:rsid w:val="007B7110"/>
    <w:rsid w:val="007C26AA"/>
    <w:rsid w:val="007C48CF"/>
    <w:rsid w:val="007C48E9"/>
    <w:rsid w:val="007C6C68"/>
    <w:rsid w:val="007C6C85"/>
    <w:rsid w:val="007D0791"/>
    <w:rsid w:val="007D1395"/>
    <w:rsid w:val="007D164F"/>
    <w:rsid w:val="007D1929"/>
    <w:rsid w:val="007D3896"/>
    <w:rsid w:val="007D4A37"/>
    <w:rsid w:val="007E2485"/>
    <w:rsid w:val="007E2B7E"/>
    <w:rsid w:val="007E3456"/>
    <w:rsid w:val="007E5916"/>
    <w:rsid w:val="007E659C"/>
    <w:rsid w:val="007F0C8E"/>
    <w:rsid w:val="007F1307"/>
    <w:rsid w:val="007F6069"/>
    <w:rsid w:val="007F6E66"/>
    <w:rsid w:val="007F752C"/>
    <w:rsid w:val="007F7C19"/>
    <w:rsid w:val="00800BCD"/>
    <w:rsid w:val="00801172"/>
    <w:rsid w:val="00801D7A"/>
    <w:rsid w:val="00803BFB"/>
    <w:rsid w:val="0080541B"/>
    <w:rsid w:val="00805D7C"/>
    <w:rsid w:val="008062FE"/>
    <w:rsid w:val="00810B12"/>
    <w:rsid w:val="00812D81"/>
    <w:rsid w:val="00813034"/>
    <w:rsid w:val="00813A6C"/>
    <w:rsid w:val="00820AB1"/>
    <w:rsid w:val="00823A37"/>
    <w:rsid w:val="0083025B"/>
    <w:rsid w:val="0083204F"/>
    <w:rsid w:val="0083217C"/>
    <w:rsid w:val="00832C7A"/>
    <w:rsid w:val="0083312B"/>
    <w:rsid w:val="00835A2A"/>
    <w:rsid w:val="00840074"/>
    <w:rsid w:val="008410C4"/>
    <w:rsid w:val="008423CF"/>
    <w:rsid w:val="0084348E"/>
    <w:rsid w:val="008442F2"/>
    <w:rsid w:val="00844A7D"/>
    <w:rsid w:val="00845DDD"/>
    <w:rsid w:val="00852E3D"/>
    <w:rsid w:val="00856960"/>
    <w:rsid w:val="00860582"/>
    <w:rsid w:val="0086124A"/>
    <w:rsid w:val="00861CC4"/>
    <w:rsid w:val="008649A7"/>
    <w:rsid w:val="00874615"/>
    <w:rsid w:val="008752A0"/>
    <w:rsid w:val="00875744"/>
    <w:rsid w:val="00877AB3"/>
    <w:rsid w:val="00882BE5"/>
    <w:rsid w:val="00883786"/>
    <w:rsid w:val="0088408D"/>
    <w:rsid w:val="00886885"/>
    <w:rsid w:val="00886AD3"/>
    <w:rsid w:val="00887D7E"/>
    <w:rsid w:val="00890A09"/>
    <w:rsid w:val="0089259B"/>
    <w:rsid w:val="00894846"/>
    <w:rsid w:val="008953AD"/>
    <w:rsid w:val="00896CDC"/>
    <w:rsid w:val="00897128"/>
    <w:rsid w:val="00897136"/>
    <w:rsid w:val="008A0844"/>
    <w:rsid w:val="008A1244"/>
    <w:rsid w:val="008A14E9"/>
    <w:rsid w:val="008A23B5"/>
    <w:rsid w:val="008A2E00"/>
    <w:rsid w:val="008A3BAE"/>
    <w:rsid w:val="008A60FC"/>
    <w:rsid w:val="008A7049"/>
    <w:rsid w:val="008B0E01"/>
    <w:rsid w:val="008B1DC9"/>
    <w:rsid w:val="008B70C9"/>
    <w:rsid w:val="008B7326"/>
    <w:rsid w:val="008C04C4"/>
    <w:rsid w:val="008C32FE"/>
    <w:rsid w:val="008C5025"/>
    <w:rsid w:val="008D03DA"/>
    <w:rsid w:val="008D3297"/>
    <w:rsid w:val="008D52BA"/>
    <w:rsid w:val="008E245D"/>
    <w:rsid w:val="008E3E68"/>
    <w:rsid w:val="008E4669"/>
    <w:rsid w:val="008E62C3"/>
    <w:rsid w:val="008E6559"/>
    <w:rsid w:val="008E65B2"/>
    <w:rsid w:val="008E690A"/>
    <w:rsid w:val="008F05B4"/>
    <w:rsid w:val="008F2C7A"/>
    <w:rsid w:val="0090006A"/>
    <w:rsid w:val="0090112A"/>
    <w:rsid w:val="00902C77"/>
    <w:rsid w:val="00903197"/>
    <w:rsid w:val="0090688B"/>
    <w:rsid w:val="00910265"/>
    <w:rsid w:val="009102A3"/>
    <w:rsid w:val="00910A6B"/>
    <w:rsid w:val="0091385F"/>
    <w:rsid w:val="00916FC4"/>
    <w:rsid w:val="0091753E"/>
    <w:rsid w:val="00926E02"/>
    <w:rsid w:val="0093168D"/>
    <w:rsid w:val="00932747"/>
    <w:rsid w:val="00933895"/>
    <w:rsid w:val="00934CE2"/>
    <w:rsid w:val="0093604B"/>
    <w:rsid w:val="00942927"/>
    <w:rsid w:val="00943A1A"/>
    <w:rsid w:val="00943A4C"/>
    <w:rsid w:val="009446E5"/>
    <w:rsid w:val="00946C4C"/>
    <w:rsid w:val="009470CD"/>
    <w:rsid w:val="00947144"/>
    <w:rsid w:val="00947A6D"/>
    <w:rsid w:val="00947CD0"/>
    <w:rsid w:val="00951C48"/>
    <w:rsid w:val="0095229A"/>
    <w:rsid w:val="00957866"/>
    <w:rsid w:val="00957EAF"/>
    <w:rsid w:val="009652C7"/>
    <w:rsid w:val="009655B8"/>
    <w:rsid w:val="00967342"/>
    <w:rsid w:val="00971564"/>
    <w:rsid w:val="00972CCF"/>
    <w:rsid w:val="0097375C"/>
    <w:rsid w:val="00973B8D"/>
    <w:rsid w:val="009740C1"/>
    <w:rsid w:val="009746B9"/>
    <w:rsid w:val="0097488C"/>
    <w:rsid w:val="00974CB2"/>
    <w:rsid w:val="00977507"/>
    <w:rsid w:val="00982A57"/>
    <w:rsid w:val="0098362D"/>
    <w:rsid w:val="009840A7"/>
    <w:rsid w:val="00984D4B"/>
    <w:rsid w:val="00985EE4"/>
    <w:rsid w:val="0099006D"/>
    <w:rsid w:val="009908D8"/>
    <w:rsid w:val="009918B9"/>
    <w:rsid w:val="009930B0"/>
    <w:rsid w:val="009934E3"/>
    <w:rsid w:val="0099530C"/>
    <w:rsid w:val="009A0978"/>
    <w:rsid w:val="009A1E12"/>
    <w:rsid w:val="009A5742"/>
    <w:rsid w:val="009A6DC3"/>
    <w:rsid w:val="009A6EAA"/>
    <w:rsid w:val="009A7163"/>
    <w:rsid w:val="009A7570"/>
    <w:rsid w:val="009B1E15"/>
    <w:rsid w:val="009B5707"/>
    <w:rsid w:val="009B6040"/>
    <w:rsid w:val="009B7BB4"/>
    <w:rsid w:val="009C1BE7"/>
    <w:rsid w:val="009C337E"/>
    <w:rsid w:val="009C4C87"/>
    <w:rsid w:val="009C5BF5"/>
    <w:rsid w:val="009D02DC"/>
    <w:rsid w:val="009D0E1C"/>
    <w:rsid w:val="009D311B"/>
    <w:rsid w:val="009D425C"/>
    <w:rsid w:val="009D4435"/>
    <w:rsid w:val="009E28BA"/>
    <w:rsid w:val="009E312B"/>
    <w:rsid w:val="009E49A2"/>
    <w:rsid w:val="009E520E"/>
    <w:rsid w:val="009E540B"/>
    <w:rsid w:val="009F074F"/>
    <w:rsid w:val="009F0993"/>
    <w:rsid w:val="009F100D"/>
    <w:rsid w:val="009F2107"/>
    <w:rsid w:val="009F3487"/>
    <w:rsid w:val="009F3678"/>
    <w:rsid w:val="009F6F44"/>
    <w:rsid w:val="009F75CB"/>
    <w:rsid w:val="00A03639"/>
    <w:rsid w:val="00A05383"/>
    <w:rsid w:val="00A0568D"/>
    <w:rsid w:val="00A072AA"/>
    <w:rsid w:val="00A07952"/>
    <w:rsid w:val="00A107AD"/>
    <w:rsid w:val="00A10891"/>
    <w:rsid w:val="00A128DF"/>
    <w:rsid w:val="00A129FF"/>
    <w:rsid w:val="00A1457B"/>
    <w:rsid w:val="00A15DA9"/>
    <w:rsid w:val="00A21B66"/>
    <w:rsid w:val="00A2233E"/>
    <w:rsid w:val="00A22817"/>
    <w:rsid w:val="00A236E8"/>
    <w:rsid w:val="00A242E2"/>
    <w:rsid w:val="00A25728"/>
    <w:rsid w:val="00A25DD2"/>
    <w:rsid w:val="00A268AB"/>
    <w:rsid w:val="00A30DB1"/>
    <w:rsid w:val="00A345FB"/>
    <w:rsid w:val="00A35FCE"/>
    <w:rsid w:val="00A42839"/>
    <w:rsid w:val="00A438E1"/>
    <w:rsid w:val="00A449DE"/>
    <w:rsid w:val="00A4504F"/>
    <w:rsid w:val="00A46A9A"/>
    <w:rsid w:val="00A47428"/>
    <w:rsid w:val="00A505F5"/>
    <w:rsid w:val="00A51A17"/>
    <w:rsid w:val="00A549BD"/>
    <w:rsid w:val="00A5607C"/>
    <w:rsid w:val="00A5668B"/>
    <w:rsid w:val="00A57CF5"/>
    <w:rsid w:val="00A62351"/>
    <w:rsid w:val="00A64B8F"/>
    <w:rsid w:val="00A64CCB"/>
    <w:rsid w:val="00A65ED7"/>
    <w:rsid w:val="00A703DF"/>
    <w:rsid w:val="00A7050D"/>
    <w:rsid w:val="00A72977"/>
    <w:rsid w:val="00A736A0"/>
    <w:rsid w:val="00A73EAF"/>
    <w:rsid w:val="00A75761"/>
    <w:rsid w:val="00A76391"/>
    <w:rsid w:val="00A776F6"/>
    <w:rsid w:val="00A807D0"/>
    <w:rsid w:val="00A8329F"/>
    <w:rsid w:val="00A832E1"/>
    <w:rsid w:val="00A85360"/>
    <w:rsid w:val="00A8549D"/>
    <w:rsid w:val="00A8569A"/>
    <w:rsid w:val="00A87E78"/>
    <w:rsid w:val="00A90CE4"/>
    <w:rsid w:val="00A91FD7"/>
    <w:rsid w:val="00A921BC"/>
    <w:rsid w:val="00A93BFF"/>
    <w:rsid w:val="00A945DD"/>
    <w:rsid w:val="00A96032"/>
    <w:rsid w:val="00A96953"/>
    <w:rsid w:val="00AA0B7E"/>
    <w:rsid w:val="00AA1F25"/>
    <w:rsid w:val="00AA2027"/>
    <w:rsid w:val="00AA22EC"/>
    <w:rsid w:val="00AA3703"/>
    <w:rsid w:val="00AA5E98"/>
    <w:rsid w:val="00AA6CDE"/>
    <w:rsid w:val="00AB0C65"/>
    <w:rsid w:val="00AB25E7"/>
    <w:rsid w:val="00AB4130"/>
    <w:rsid w:val="00AB6034"/>
    <w:rsid w:val="00AB78C2"/>
    <w:rsid w:val="00AC0EAE"/>
    <w:rsid w:val="00AC328B"/>
    <w:rsid w:val="00AC5871"/>
    <w:rsid w:val="00AC6654"/>
    <w:rsid w:val="00AD1E6D"/>
    <w:rsid w:val="00AD267F"/>
    <w:rsid w:val="00AD62C9"/>
    <w:rsid w:val="00AD675D"/>
    <w:rsid w:val="00AD6EFF"/>
    <w:rsid w:val="00AE1E0E"/>
    <w:rsid w:val="00AE2753"/>
    <w:rsid w:val="00AE29FF"/>
    <w:rsid w:val="00AE3184"/>
    <w:rsid w:val="00AE3298"/>
    <w:rsid w:val="00AE3A0D"/>
    <w:rsid w:val="00AE5CA1"/>
    <w:rsid w:val="00AE6F57"/>
    <w:rsid w:val="00AE74D8"/>
    <w:rsid w:val="00AF17FE"/>
    <w:rsid w:val="00AF1FB6"/>
    <w:rsid w:val="00AF211C"/>
    <w:rsid w:val="00AF3058"/>
    <w:rsid w:val="00AF4163"/>
    <w:rsid w:val="00AF5265"/>
    <w:rsid w:val="00AF5AEC"/>
    <w:rsid w:val="00AF5EE3"/>
    <w:rsid w:val="00AF6CE4"/>
    <w:rsid w:val="00AF7D8F"/>
    <w:rsid w:val="00B00E5E"/>
    <w:rsid w:val="00B10F25"/>
    <w:rsid w:val="00B10FE7"/>
    <w:rsid w:val="00B11BB6"/>
    <w:rsid w:val="00B11E8A"/>
    <w:rsid w:val="00B129EC"/>
    <w:rsid w:val="00B12AB7"/>
    <w:rsid w:val="00B144A1"/>
    <w:rsid w:val="00B14C4E"/>
    <w:rsid w:val="00B15EA2"/>
    <w:rsid w:val="00B21996"/>
    <w:rsid w:val="00B220A3"/>
    <w:rsid w:val="00B226C8"/>
    <w:rsid w:val="00B232FC"/>
    <w:rsid w:val="00B25E97"/>
    <w:rsid w:val="00B2692B"/>
    <w:rsid w:val="00B27A5C"/>
    <w:rsid w:val="00B30231"/>
    <w:rsid w:val="00B32724"/>
    <w:rsid w:val="00B34E23"/>
    <w:rsid w:val="00B356B6"/>
    <w:rsid w:val="00B35BA1"/>
    <w:rsid w:val="00B3602D"/>
    <w:rsid w:val="00B3704F"/>
    <w:rsid w:val="00B37413"/>
    <w:rsid w:val="00B40FC8"/>
    <w:rsid w:val="00B451B6"/>
    <w:rsid w:val="00B4545A"/>
    <w:rsid w:val="00B51A1C"/>
    <w:rsid w:val="00B52F7E"/>
    <w:rsid w:val="00B534AD"/>
    <w:rsid w:val="00B545B7"/>
    <w:rsid w:val="00B56388"/>
    <w:rsid w:val="00B563F3"/>
    <w:rsid w:val="00B60D94"/>
    <w:rsid w:val="00B614F9"/>
    <w:rsid w:val="00B615A1"/>
    <w:rsid w:val="00B61616"/>
    <w:rsid w:val="00B64117"/>
    <w:rsid w:val="00B66A7A"/>
    <w:rsid w:val="00B67B59"/>
    <w:rsid w:val="00B719AF"/>
    <w:rsid w:val="00B738F6"/>
    <w:rsid w:val="00B76526"/>
    <w:rsid w:val="00B82B15"/>
    <w:rsid w:val="00B8300F"/>
    <w:rsid w:val="00B8369C"/>
    <w:rsid w:val="00B8767E"/>
    <w:rsid w:val="00B92DA1"/>
    <w:rsid w:val="00B9429F"/>
    <w:rsid w:val="00B944BF"/>
    <w:rsid w:val="00B95238"/>
    <w:rsid w:val="00B973DB"/>
    <w:rsid w:val="00BA06C6"/>
    <w:rsid w:val="00BA1675"/>
    <w:rsid w:val="00BA17CB"/>
    <w:rsid w:val="00BA1DBC"/>
    <w:rsid w:val="00BA206E"/>
    <w:rsid w:val="00BA2373"/>
    <w:rsid w:val="00BA4013"/>
    <w:rsid w:val="00BA4836"/>
    <w:rsid w:val="00BA51FC"/>
    <w:rsid w:val="00BA5775"/>
    <w:rsid w:val="00BB0BC3"/>
    <w:rsid w:val="00BB137B"/>
    <w:rsid w:val="00BB28FB"/>
    <w:rsid w:val="00BB361C"/>
    <w:rsid w:val="00BB3AA8"/>
    <w:rsid w:val="00BB596B"/>
    <w:rsid w:val="00BB6063"/>
    <w:rsid w:val="00BB6DF6"/>
    <w:rsid w:val="00BB73B2"/>
    <w:rsid w:val="00BC08EA"/>
    <w:rsid w:val="00BC124B"/>
    <w:rsid w:val="00BC2DC7"/>
    <w:rsid w:val="00BC41EA"/>
    <w:rsid w:val="00BC52EF"/>
    <w:rsid w:val="00BC7B39"/>
    <w:rsid w:val="00BD11DE"/>
    <w:rsid w:val="00BD270C"/>
    <w:rsid w:val="00BD6B2F"/>
    <w:rsid w:val="00BE056B"/>
    <w:rsid w:val="00BE692D"/>
    <w:rsid w:val="00BF0421"/>
    <w:rsid w:val="00BF2574"/>
    <w:rsid w:val="00BF2667"/>
    <w:rsid w:val="00BF2BFC"/>
    <w:rsid w:val="00BF2F81"/>
    <w:rsid w:val="00BF3065"/>
    <w:rsid w:val="00BF39BE"/>
    <w:rsid w:val="00BF4897"/>
    <w:rsid w:val="00BF615A"/>
    <w:rsid w:val="00BF64FF"/>
    <w:rsid w:val="00C020BC"/>
    <w:rsid w:val="00C0368E"/>
    <w:rsid w:val="00C0394F"/>
    <w:rsid w:val="00C03BB5"/>
    <w:rsid w:val="00C05503"/>
    <w:rsid w:val="00C065C3"/>
    <w:rsid w:val="00C101AE"/>
    <w:rsid w:val="00C11346"/>
    <w:rsid w:val="00C11F86"/>
    <w:rsid w:val="00C16F6A"/>
    <w:rsid w:val="00C170D6"/>
    <w:rsid w:val="00C17D84"/>
    <w:rsid w:val="00C26C8D"/>
    <w:rsid w:val="00C31DD3"/>
    <w:rsid w:val="00C32B64"/>
    <w:rsid w:val="00C35F3E"/>
    <w:rsid w:val="00C415B7"/>
    <w:rsid w:val="00C421AA"/>
    <w:rsid w:val="00C54755"/>
    <w:rsid w:val="00C548BD"/>
    <w:rsid w:val="00C56347"/>
    <w:rsid w:val="00C566F9"/>
    <w:rsid w:val="00C57605"/>
    <w:rsid w:val="00C602BC"/>
    <w:rsid w:val="00C60401"/>
    <w:rsid w:val="00C65B2C"/>
    <w:rsid w:val="00C70BB5"/>
    <w:rsid w:val="00C72771"/>
    <w:rsid w:val="00C73E30"/>
    <w:rsid w:val="00C74201"/>
    <w:rsid w:val="00C75108"/>
    <w:rsid w:val="00C75F5B"/>
    <w:rsid w:val="00C75FAF"/>
    <w:rsid w:val="00C765E5"/>
    <w:rsid w:val="00C80791"/>
    <w:rsid w:val="00C80811"/>
    <w:rsid w:val="00C80D3F"/>
    <w:rsid w:val="00C8101E"/>
    <w:rsid w:val="00C8316C"/>
    <w:rsid w:val="00C9041A"/>
    <w:rsid w:val="00C9094D"/>
    <w:rsid w:val="00C926E8"/>
    <w:rsid w:val="00C92B01"/>
    <w:rsid w:val="00C92EFE"/>
    <w:rsid w:val="00C96A5D"/>
    <w:rsid w:val="00C96FE7"/>
    <w:rsid w:val="00C97EA6"/>
    <w:rsid w:val="00CA22BD"/>
    <w:rsid w:val="00CA72AB"/>
    <w:rsid w:val="00CA7637"/>
    <w:rsid w:val="00CB0277"/>
    <w:rsid w:val="00CB185C"/>
    <w:rsid w:val="00CB2C49"/>
    <w:rsid w:val="00CB56AF"/>
    <w:rsid w:val="00CB6486"/>
    <w:rsid w:val="00CC3946"/>
    <w:rsid w:val="00CC3D82"/>
    <w:rsid w:val="00CC6016"/>
    <w:rsid w:val="00CC6777"/>
    <w:rsid w:val="00CD0939"/>
    <w:rsid w:val="00CD2223"/>
    <w:rsid w:val="00CD3BCF"/>
    <w:rsid w:val="00CD4323"/>
    <w:rsid w:val="00CE21FB"/>
    <w:rsid w:val="00CE3753"/>
    <w:rsid w:val="00CE5C98"/>
    <w:rsid w:val="00CF4288"/>
    <w:rsid w:val="00CF58B3"/>
    <w:rsid w:val="00CF6407"/>
    <w:rsid w:val="00CF6531"/>
    <w:rsid w:val="00D01B70"/>
    <w:rsid w:val="00D0241B"/>
    <w:rsid w:val="00D04063"/>
    <w:rsid w:val="00D04D91"/>
    <w:rsid w:val="00D04ECC"/>
    <w:rsid w:val="00D1159C"/>
    <w:rsid w:val="00D127B3"/>
    <w:rsid w:val="00D149C7"/>
    <w:rsid w:val="00D15D49"/>
    <w:rsid w:val="00D1620E"/>
    <w:rsid w:val="00D17A3F"/>
    <w:rsid w:val="00D21920"/>
    <w:rsid w:val="00D24331"/>
    <w:rsid w:val="00D244C2"/>
    <w:rsid w:val="00D24F58"/>
    <w:rsid w:val="00D269D1"/>
    <w:rsid w:val="00D27160"/>
    <w:rsid w:val="00D2766A"/>
    <w:rsid w:val="00D312B6"/>
    <w:rsid w:val="00D33C9A"/>
    <w:rsid w:val="00D33D88"/>
    <w:rsid w:val="00D33F18"/>
    <w:rsid w:val="00D35253"/>
    <w:rsid w:val="00D353AE"/>
    <w:rsid w:val="00D4027D"/>
    <w:rsid w:val="00D41ECD"/>
    <w:rsid w:val="00D43517"/>
    <w:rsid w:val="00D436D5"/>
    <w:rsid w:val="00D43BE6"/>
    <w:rsid w:val="00D44A56"/>
    <w:rsid w:val="00D455E8"/>
    <w:rsid w:val="00D459DF"/>
    <w:rsid w:val="00D46AC2"/>
    <w:rsid w:val="00D47930"/>
    <w:rsid w:val="00D5214C"/>
    <w:rsid w:val="00D569EB"/>
    <w:rsid w:val="00D61177"/>
    <w:rsid w:val="00D617AB"/>
    <w:rsid w:val="00D61D56"/>
    <w:rsid w:val="00D63CDD"/>
    <w:rsid w:val="00D63F14"/>
    <w:rsid w:val="00D64755"/>
    <w:rsid w:val="00D6735E"/>
    <w:rsid w:val="00D67FB0"/>
    <w:rsid w:val="00D70C59"/>
    <w:rsid w:val="00D71373"/>
    <w:rsid w:val="00D7306E"/>
    <w:rsid w:val="00D73327"/>
    <w:rsid w:val="00D7442E"/>
    <w:rsid w:val="00D76360"/>
    <w:rsid w:val="00D80101"/>
    <w:rsid w:val="00D8114D"/>
    <w:rsid w:val="00D83566"/>
    <w:rsid w:val="00D84BEF"/>
    <w:rsid w:val="00D8684F"/>
    <w:rsid w:val="00D86C61"/>
    <w:rsid w:val="00D87533"/>
    <w:rsid w:val="00D87B17"/>
    <w:rsid w:val="00D90505"/>
    <w:rsid w:val="00D92F22"/>
    <w:rsid w:val="00D93473"/>
    <w:rsid w:val="00D95489"/>
    <w:rsid w:val="00D957E9"/>
    <w:rsid w:val="00D95B56"/>
    <w:rsid w:val="00D974A6"/>
    <w:rsid w:val="00DA10D8"/>
    <w:rsid w:val="00DA3067"/>
    <w:rsid w:val="00DA6949"/>
    <w:rsid w:val="00DB13A7"/>
    <w:rsid w:val="00DB1C32"/>
    <w:rsid w:val="00DB3CA6"/>
    <w:rsid w:val="00DB536F"/>
    <w:rsid w:val="00DB7118"/>
    <w:rsid w:val="00DB73F6"/>
    <w:rsid w:val="00DC022D"/>
    <w:rsid w:val="00DC2376"/>
    <w:rsid w:val="00DC23A5"/>
    <w:rsid w:val="00DC5019"/>
    <w:rsid w:val="00DC5DA5"/>
    <w:rsid w:val="00DD1910"/>
    <w:rsid w:val="00DD3E6E"/>
    <w:rsid w:val="00DD5B18"/>
    <w:rsid w:val="00DD657F"/>
    <w:rsid w:val="00DD6B39"/>
    <w:rsid w:val="00DE0B24"/>
    <w:rsid w:val="00DE2568"/>
    <w:rsid w:val="00DE2AF0"/>
    <w:rsid w:val="00DE2EA9"/>
    <w:rsid w:val="00DE4ACB"/>
    <w:rsid w:val="00DE5B2B"/>
    <w:rsid w:val="00DE60F9"/>
    <w:rsid w:val="00DE72F6"/>
    <w:rsid w:val="00DF1759"/>
    <w:rsid w:val="00DF1DFE"/>
    <w:rsid w:val="00DF3707"/>
    <w:rsid w:val="00DF4F0B"/>
    <w:rsid w:val="00DF62AD"/>
    <w:rsid w:val="00DF6433"/>
    <w:rsid w:val="00DF67EB"/>
    <w:rsid w:val="00DF7AA6"/>
    <w:rsid w:val="00E00CFE"/>
    <w:rsid w:val="00E00D93"/>
    <w:rsid w:val="00E01D8A"/>
    <w:rsid w:val="00E02608"/>
    <w:rsid w:val="00E02749"/>
    <w:rsid w:val="00E059F9"/>
    <w:rsid w:val="00E06D6F"/>
    <w:rsid w:val="00E10405"/>
    <w:rsid w:val="00E11672"/>
    <w:rsid w:val="00E12D1F"/>
    <w:rsid w:val="00E1314C"/>
    <w:rsid w:val="00E1322D"/>
    <w:rsid w:val="00E1638D"/>
    <w:rsid w:val="00E1644B"/>
    <w:rsid w:val="00E20B50"/>
    <w:rsid w:val="00E23242"/>
    <w:rsid w:val="00E26CB1"/>
    <w:rsid w:val="00E31B72"/>
    <w:rsid w:val="00E3247B"/>
    <w:rsid w:val="00E32672"/>
    <w:rsid w:val="00E33404"/>
    <w:rsid w:val="00E37D62"/>
    <w:rsid w:val="00E4211E"/>
    <w:rsid w:val="00E42A69"/>
    <w:rsid w:val="00E44048"/>
    <w:rsid w:val="00E44127"/>
    <w:rsid w:val="00E503FD"/>
    <w:rsid w:val="00E50887"/>
    <w:rsid w:val="00E518F8"/>
    <w:rsid w:val="00E51EB2"/>
    <w:rsid w:val="00E54D7B"/>
    <w:rsid w:val="00E56CF8"/>
    <w:rsid w:val="00E6116B"/>
    <w:rsid w:val="00E6136F"/>
    <w:rsid w:val="00E62157"/>
    <w:rsid w:val="00E65D5D"/>
    <w:rsid w:val="00E7094F"/>
    <w:rsid w:val="00E721ED"/>
    <w:rsid w:val="00E75E61"/>
    <w:rsid w:val="00E7791D"/>
    <w:rsid w:val="00E814D0"/>
    <w:rsid w:val="00E81806"/>
    <w:rsid w:val="00E83913"/>
    <w:rsid w:val="00E840FF"/>
    <w:rsid w:val="00E84707"/>
    <w:rsid w:val="00E861F4"/>
    <w:rsid w:val="00E86721"/>
    <w:rsid w:val="00E8794E"/>
    <w:rsid w:val="00E91329"/>
    <w:rsid w:val="00E915A6"/>
    <w:rsid w:val="00E919F2"/>
    <w:rsid w:val="00E942BB"/>
    <w:rsid w:val="00E94E15"/>
    <w:rsid w:val="00EA0317"/>
    <w:rsid w:val="00EA0D47"/>
    <w:rsid w:val="00EA3CB2"/>
    <w:rsid w:val="00EA421C"/>
    <w:rsid w:val="00EA4574"/>
    <w:rsid w:val="00EA6A7B"/>
    <w:rsid w:val="00EA6F4A"/>
    <w:rsid w:val="00EA7D9D"/>
    <w:rsid w:val="00EB0A8F"/>
    <w:rsid w:val="00EB4AFE"/>
    <w:rsid w:val="00EB5F8A"/>
    <w:rsid w:val="00EB75E8"/>
    <w:rsid w:val="00EC03BE"/>
    <w:rsid w:val="00EC10EA"/>
    <w:rsid w:val="00EC567F"/>
    <w:rsid w:val="00EC57D6"/>
    <w:rsid w:val="00EC5C61"/>
    <w:rsid w:val="00EC6B23"/>
    <w:rsid w:val="00EC7394"/>
    <w:rsid w:val="00ED158E"/>
    <w:rsid w:val="00ED17DD"/>
    <w:rsid w:val="00ED4168"/>
    <w:rsid w:val="00ED5889"/>
    <w:rsid w:val="00EE450F"/>
    <w:rsid w:val="00EE4CF6"/>
    <w:rsid w:val="00EE5203"/>
    <w:rsid w:val="00EE6669"/>
    <w:rsid w:val="00EE6D25"/>
    <w:rsid w:val="00EE7E6E"/>
    <w:rsid w:val="00EF1EC5"/>
    <w:rsid w:val="00EF299D"/>
    <w:rsid w:val="00EF3DD5"/>
    <w:rsid w:val="00EF5D58"/>
    <w:rsid w:val="00EF7A2D"/>
    <w:rsid w:val="00F04564"/>
    <w:rsid w:val="00F05302"/>
    <w:rsid w:val="00F06812"/>
    <w:rsid w:val="00F071DA"/>
    <w:rsid w:val="00F111C3"/>
    <w:rsid w:val="00F12BD0"/>
    <w:rsid w:val="00F14C25"/>
    <w:rsid w:val="00F15C9D"/>
    <w:rsid w:val="00F212CA"/>
    <w:rsid w:val="00F21549"/>
    <w:rsid w:val="00F219B1"/>
    <w:rsid w:val="00F21F27"/>
    <w:rsid w:val="00F2223C"/>
    <w:rsid w:val="00F24029"/>
    <w:rsid w:val="00F24273"/>
    <w:rsid w:val="00F301B6"/>
    <w:rsid w:val="00F304EF"/>
    <w:rsid w:val="00F31CA1"/>
    <w:rsid w:val="00F32C57"/>
    <w:rsid w:val="00F330EC"/>
    <w:rsid w:val="00F35718"/>
    <w:rsid w:val="00F35CA3"/>
    <w:rsid w:val="00F4047E"/>
    <w:rsid w:val="00F409C1"/>
    <w:rsid w:val="00F41187"/>
    <w:rsid w:val="00F416D6"/>
    <w:rsid w:val="00F41E1A"/>
    <w:rsid w:val="00F43D0E"/>
    <w:rsid w:val="00F43F6C"/>
    <w:rsid w:val="00F45070"/>
    <w:rsid w:val="00F45E68"/>
    <w:rsid w:val="00F47B15"/>
    <w:rsid w:val="00F529F5"/>
    <w:rsid w:val="00F53359"/>
    <w:rsid w:val="00F53515"/>
    <w:rsid w:val="00F53AC7"/>
    <w:rsid w:val="00F545EF"/>
    <w:rsid w:val="00F549BE"/>
    <w:rsid w:val="00F5565B"/>
    <w:rsid w:val="00F55E33"/>
    <w:rsid w:val="00F60147"/>
    <w:rsid w:val="00F65156"/>
    <w:rsid w:val="00F66E1B"/>
    <w:rsid w:val="00F66FE5"/>
    <w:rsid w:val="00F70A74"/>
    <w:rsid w:val="00F70EDD"/>
    <w:rsid w:val="00F7118E"/>
    <w:rsid w:val="00F75751"/>
    <w:rsid w:val="00F759C1"/>
    <w:rsid w:val="00F76A34"/>
    <w:rsid w:val="00F8074A"/>
    <w:rsid w:val="00F826E4"/>
    <w:rsid w:val="00F8294E"/>
    <w:rsid w:val="00F868AA"/>
    <w:rsid w:val="00F90A13"/>
    <w:rsid w:val="00F91383"/>
    <w:rsid w:val="00F91FE1"/>
    <w:rsid w:val="00F930F6"/>
    <w:rsid w:val="00F944D1"/>
    <w:rsid w:val="00FA4124"/>
    <w:rsid w:val="00FA45E3"/>
    <w:rsid w:val="00FA4C4B"/>
    <w:rsid w:val="00FA6EF7"/>
    <w:rsid w:val="00FA7397"/>
    <w:rsid w:val="00FA7BDD"/>
    <w:rsid w:val="00FB24ED"/>
    <w:rsid w:val="00FB2731"/>
    <w:rsid w:val="00FB2DCD"/>
    <w:rsid w:val="00FB3573"/>
    <w:rsid w:val="00FB3D95"/>
    <w:rsid w:val="00FB5533"/>
    <w:rsid w:val="00FB5FC4"/>
    <w:rsid w:val="00FB6F03"/>
    <w:rsid w:val="00FC12D6"/>
    <w:rsid w:val="00FC2954"/>
    <w:rsid w:val="00FC4E13"/>
    <w:rsid w:val="00FC639A"/>
    <w:rsid w:val="00FC7441"/>
    <w:rsid w:val="00FD01CA"/>
    <w:rsid w:val="00FD1641"/>
    <w:rsid w:val="00FD3751"/>
    <w:rsid w:val="00FD51D8"/>
    <w:rsid w:val="00FD6B74"/>
    <w:rsid w:val="00FE12B1"/>
    <w:rsid w:val="00FE2005"/>
    <w:rsid w:val="00FE625D"/>
    <w:rsid w:val="00FE6CA9"/>
    <w:rsid w:val="00FE7254"/>
    <w:rsid w:val="00FF4415"/>
    <w:rsid w:val="00FF5CF4"/>
    <w:rsid w:val="0118CA11"/>
    <w:rsid w:val="0187B876"/>
    <w:rsid w:val="02BAB31A"/>
    <w:rsid w:val="02DBF932"/>
    <w:rsid w:val="035D91B3"/>
    <w:rsid w:val="0388F743"/>
    <w:rsid w:val="03E5D857"/>
    <w:rsid w:val="05175898"/>
    <w:rsid w:val="05BBA996"/>
    <w:rsid w:val="05C894C1"/>
    <w:rsid w:val="0A3F8EA7"/>
    <w:rsid w:val="0A531CCB"/>
    <w:rsid w:val="0B50D530"/>
    <w:rsid w:val="0BBD95A9"/>
    <w:rsid w:val="0C2FAB6C"/>
    <w:rsid w:val="0D1DE983"/>
    <w:rsid w:val="0DA01D50"/>
    <w:rsid w:val="0E589875"/>
    <w:rsid w:val="0F91A8C0"/>
    <w:rsid w:val="12288E83"/>
    <w:rsid w:val="12B0CCED"/>
    <w:rsid w:val="12BF8924"/>
    <w:rsid w:val="1451E2F4"/>
    <w:rsid w:val="14D773A8"/>
    <w:rsid w:val="1517C091"/>
    <w:rsid w:val="161A47A2"/>
    <w:rsid w:val="16D7EF1A"/>
    <w:rsid w:val="17319FD3"/>
    <w:rsid w:val="17D63941"/>
    <w:rsid w:val="1853055A"/>
    <w:rsid w:val="19707FB5"/>
    <w:rsid w:val="1989546E"/>
    <w:rsid w:val="1A6010B3"/>
    <w:rsid w:val="1A74B454"/>
    <w:rsid w:val="1BB6804B"/>
    <w:rsid w:val="1CC687B0"/>
    <w:rsid w:val="1DB31948"/>
    <w:rsid w:val="1DDBF959"/>
    <w:rsid w:val="1DF20831"/>
    <w:rsid w:val="1E412842"/>
    <w:rsid w:val="1E4A6BEC"/>
    <w:rsid w:val="1F7749D5"/>
    <w:rsid w:val="1F8EE846"/>
    <w:rsid w:val="1FA9C8AE"/>
    <w:rsid w:val="20922EF6"/>
    <w:rsid w:val="21F19F53"/>
    <w:rsid w:val="22246B4F"/>
    <w:rsid w:val="2228F9C9"/>
    <w:rsid w:val="233117DE"/>
    <w:rsid w:val="23486493"/>
    <w:rsid w:val="24181061"/>
    <w:rsid w:val="24503723"/>
    <w:rsid w:val="24AF8A9D"/>
    <w:rsid w:val="24E57402"/>
    <w:rsid w:val="24F561E5"/>
    <w:rsid w:val="25241763"/>
    <w:rsid w:val="25BBE7D0"/>
    <w:rsid w:val="25FEC258"/>
    <w:rsid w:val="26557110"/>
    <w:rsid w:val="269637BF"/>
    <w:rsid w:val="26B742E5"/>
    <w:rsid w:val="26CBBD15"/>
    <w:rsid w:val="2827B1B2"/>
    <w:rsid w:val="28571765"/>
    <w:rsid w:val="287A1A18"/>
    <w:rsid w:val="2A8751E5"/>
    <w:rsid w:val="2B68126E"/>
    <w:rsid w:val="2CBA2D16"/>
    <w:rsid w:val="2CD39CD4"/>
    <w:rsid w:val="2CE1AD55"/>
    <w:rsid w:val="2D6C1016"/>
    <w:rsid w:val="2DD49397"/>
    <w:rsid w:val="2DF5A9BF"/>
    <w:rsid w:val="2E8E4816"/>
    <w:rsid w:val="2ED19D42"/>
    <w:rsid w:val="2EDD5153"/>
    <w:rsid w:val="2FD5424B"/>
    <w:rsid w:val="302CF70A"/>
    <w:rsid w:val="30F69369"/>
    <w:rsid w:val="312594C6"/>
    <w:rsid w:val="316DABEB"/>
    <w:rsid w:val="31E3FC6D"/>
    <w:rsid w:val="323F8139"/>
    <w:rsid w:val="32B60116"/>
    <w:rsid w:val="3444BA61"/>
    <w:rsid w:val="3525601E"/>
    <w:rsid w:val="357D5926"/>
    <w:rsid w:val="3587D024"/>
    <w:rsid w:val="360A034D"/>
    <w:rsid w:val="361A985B"/>
    <w:rsid w:val="38AE2B3A"/>
    <w:rsid w:val="3922BE47"/>
    <w:rsid w:val="3986AEF8"/>
    <w:rsid w:val="39D0784F"/>
    <w:rsid w:val="3B4DCA80"/>
    <w:rsid w:val="3BB8CE85"/>
    <w:rsid w:val="3D3870A4"/>
    <w:rsid w:val="3E545442"/>
    <w:rsid w:val="3E75F6D3"/>
    <w:rsid w:val="3EF8B526"/>
    <w:rsid w:val="40C9C355"/>
    <w:rsid w:val="40D39E46"/>
    <w:rsid w:val="411F72FE"/>
    <w:rsid w:val="411F74E2"/>
    <w:rsid w:val="42AA9039"/>
    <w:rsid w:val="42F9848C"/>
    <w:rsid w:val="42F98632"/>
    <w:rsid w:val="43F0E8B6"/>
    <w:rsid w:val="4419D94E"/>
    <w:rsid w:val="446BEB02"/>
    <w:rsid w:val="4482A7C8"/>
    <w:rsid w:val="44DCBE23"/>
    <w:rsid w:val="452F5DC6"/>
    <w:rsid w:val="4819FE7A"/>
    <w:rsid w:val="481F72C6"/>
    <w:rsid w:val="4856934D"/>
    <w:rsid w:val="48FD4927"/>
    <w:rsid w:val="49F83CA4"/>
    <w:rsid w:val="4A4701DD"/>
    <w:rsid w:val="4A602A3A"/>
    <w:rsid w:val="4AD28166"/>
    <w:rsid w:val="4B02B29A"/>
    <w:rsid w:val="4B15E75D"/>
    <w:rsid w:val="4B7CDE3D"/>
    <w:rsid w:val="4BD44F24"/>
    <w:rsid w:val="4C7B77D9"/>
    <w:rsid w:val="4D7A27D2"/>
    <w:rsid w:val="4D7EA29F"/>
    <w:rsid w:val="4E1DC763"/>
    <w:rsid w:val="4E6619E2"/>
    <w:rsid w:val="4EA37C92"/>
    <w:rsid w:val="4EB6BA3F"/>
    <w:rsid w:val="4F7F2EBC"/>
    <w:rsid w:val="512B9E57"/>
    <w:rsid w:val="513F19C9"/>
    <w:rsid w:val="51924887"/>
    <w:rsid w:val="52BC038B"/>
    <w:rsid w:val="53CA7002"/>
    <w:rsid w:val="54C57FE8"/>
    <w:rsid w:val="55907E09"/>
    <w:rsid w:val="566D5039"/>
    <w:rsid w:val="56BFABDF"/>
    <w:rsid w:val="56F4BE25"/>
    <w:rsid w:val="571BE96C"/>
    <w:rsid w:val="57827541"/>
    <w:rsid w:val="5823843A"/>
    <w:rsid w:val="58C9437F"/>
    <w:rsid w:val="58DA7DA3"/>
    <w:rsid w:val="5AB490F5"/>
    <w:rsid w:val="5AC3467A"/>
    <w:rsid w:val="5B931D02"/>
    <w:rsid w:val="5BEE6921"/>
    <w:rsid w:val="5CEF511D"/>
    <w:rsid w:val="5D407D35"/>
    <w:rsid w:val="5EC11B1F"/>
    <w:rsid w:val="5F09BB4E"/>
    <w:rsid w:val="5F43B1B0"/>
    <w:rsid w:val="5F90DFFE"/>
    <w:rsid w:val="600C1C4A"/>
    <w:rsid w:val="60224628"/>
    <w:rsid w:val="60B6AD41"/>
    <w:rsid w:val="6135237C"/>
    <w:rsid w:val="62C72026"/>
    <w:rsid w:val="63D1D961"/>
    <w:rsid w:val="645CB2B5"/>
    <w:rsid w:val="651FFC22"/>
    <w:rsid w:val="671D19AE"/>
    <w:rsid w:val="68679EEF"/>
    <w:rsid w:val="68C63E39"/>
    <w:rsid w:val="69C76206"/>
    <w:rsid w:val="6A6A88CE"/>
    <w:rsid w:val="6B41F19E"/>
    <w:rsid w:val="6B61BC03"/>
    <w:rsid w:val="6CCBA185"/>
    <w:rsid w:val="6D05E979"/>
    <w:rsid w:val="6D0A8E04"/>
    <w:rsid w:val="6D764E01"/>
    <w:rsid w:val="6E6BAAF4"/>
    <w:rsid w:val="6E984033"/>
    <w:rsid w:val="6F51BE89"/>
    <w:rsid w:val="7118C660"/>
    <w:rsid w:val="712D06C0"/>
    <w:rsid w:val="7136474C"/>
    <w:rsid w:val="71980AC5"/>
    <w:rsid w:val="72F31CE6"/>
    <w:rsid w:val="7317D3CE"/>
    <w:rsid w:val="746275F1"/>
    <w:rsid w:val="747B4613"/>
    <w:rsid w:val="74A815A4"/>
    <w:rsid w:val="74C197DE"/>
    <w:rsid w:val="756CEF76"/>
    <w:rsid w:val="7573E9C2"/>
    <w:rsid w:val="7595E34F"/>
    <w:rsid w:val="75B86490"/>
    <w:rsid w:val="761D7217"/>
    <w:rsid w:val="76F865BB"/>
    <w:rsid w:val="775434F1"/>
    <w:rsid w:val="7770123F"/>
    <w:rsid w:val="77AC4128"/>
    <w:rsid w:val="786D1FB6"/>
    <w:rsid w:val="7875DFF2"/>
    <w:rsid w:val="78BA9E44"/>
    <w:rsid w:val="7A454195"/>
    <w:rsid w:val="7A6276C5"/>
    <w:rsid w:val="7AE83063"/>
    <w:rsid w:val="7AF3B54F"/>
    <w:rsid w:val="7BA0DE2E"/>
    <w:rsid w:val="7C209A51"/>
    <w:rsid w:val="7D9B4930"/>
    <w:rsid w:val="7DA0C8D2"/>
    <w:rsid w:val="7E19E048"/>
    <w:rsid w:val="7E1AF0B4"/>
    <w:rsid w:val="7EC09781"/>
    <w:rsid w:val="7F11A989"/>
    <w:rsid w:val="7F77A668"/>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paragraph" w:customStyle="1" w:styleId="TekstgrafEO">
    <w:name w:val="Tekst graf_EO"/>
    <w:basedOn w:val="Navaden"/>
    <w:link w:val="TekstgrafEOChar"/>
    <w:qFormat/>
    <w:rsid w:val="006F69D9"/>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F69D9"/>
    <w:rPr>
      <w:rFonts w:ascii="Myriad Pro" w:eastAsia="Times New Roman" w:hAnsi="Myriad Pro" w:cs="Times New Roman"/>
      <w:sz w:val="18"/>
      <w:szCs w:val="18"/>
    </w:rPr>
  </w:style>
  <w:style w:type="character" w:customStyle="1" w:styleId="normaltextrun">
    <w:name w:val="normaltextrun"/>
    <w:basedOn w:val="Privzetapisavaodstavka"/>
    <w:rsid w:val="006F69D9"/>
  </w:style>
  <w:style w:type="character" w:customStyle="1" w:styleId="Nerazreenaomemba1">
    <w:name w:val="Nerazrešena omemba1"/>
    <w:basedOn w:val="Privzetapisavaodstavka"/>
    <w:uiPriority w:val="99"/>
    <w:semiHidden/>
    <w:unhideWhenUsed/>
    <w:rsid w:val="0090112A"/>
    <w:rPr>
      <w:color w:val="605E5C"/>
      <w:shd w:val="clear" w:color="auto" w:fill="E1DFDD"/>
    </w:rPr>
  </w:style>
  <w:style w:type="character" w:customStyle="1" w:styleId="markedcontent">
    <w:name w:val="markedcontent"/>
    <w:basedOn w:val="Privzetapisavaodstavka"/>
    <w:rsid w:val="001D6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7CFA9-0905-4001-93B4-82A2A651F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1344</Words>
  <Characters>7662</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2022-11-22T11:47:00Z</dcterms:created>
  <dcterms:modified xsi:type="dcterms:W3CDTF">2022-11-22T11:47:00Z</dcterms:modified>
</cp:coreProperties>
</file>