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9FC62" w14:textId="77777777" w:rsidR="001D6793" w:rsidRPr="008A69E9" w:rsidRDefault="001D6793" w:rsidP="001D6793">
      <w:pPr>
        <w:rPr>
          <w:b/>
          <w:sz w:val="32"/>
          <w:szCs w:val="32"/>
        </w:rPr>
      </w:pPr>
      <w:r w:rsidRPr="008A69E9">
        <w:rPr>
          <w:b/>
          <w:sz w:val="32"/>
          <w:szCs w:val="32"/>
        </w:rPr>
        <w:t>TEKOČA GOSPODARSKA GIBANJA</w:t>
      </w:r>
    </w:p>
    <w:p w14:paraId="2459FC63" w14:textId="77777777" w:rsidR="001D6793" w:rsidRPr="008A69E9" w:rsidRDefault="00FA45E3" w:rsidP="001D6793">
      <w:pPr>
        <w:rPr>
          <w:sz w:val="32"/>
          <w:szCs w:val="32"/>
        </w:rPr>
      </w:pPr>
      <w:r w:rsidRPr="008A69E9">
        <w:rPr>
          <w:sz w:val="32"/>
          <w:szCs w:val="32"/>
        </w:rPr>
        <w:t xml:space="preserve">od </w:t>
      </w:r>
      <w:r w:rsidR="00296BEC" w:rsidRPr="008A69E9">
        <w:rPr>
          <w:sz w:val="32"/>
          <w:szCs w:val="32"/>
        </w:rPr>
        <w:t>16</w:t>
      </w:r>
      <w:r w:rsidR="001D6793" w:rsidRPr="008A69E9">
        <w:rPr>
          <w:sz w:val="32"/>
          <w:szCs w:val="32"/>
        </w:rPr>
        <w:t xml:space="preserve">. do </w:t>
      </w:r>
      <w:r w:rsidR="00296BEC" w:rsidRPr="008A69E9">
        <w:rPr>
          <w:sz w:val="32"/>
          <w:szCs w:val="32"/>
        </w:rPr>
        <w:t>20</w:t>
      </w:r>
      <w:r w:rsidR="001D6793" w:rsidRPr="008A69E9">
        <w:rPr>
          <w:sz w:val="32"/>
          <w:szCs w:val="32"/>
        </w:rPr>
        <w:t xml:space="preserve">. </w:t>
      </w:r>
      <w:r w:rsidR="005B4C57" w:rsidRPr="008A69E9">
        <w:rPr>
          <w:sz w:val="32"/>
          <w:szCs w:val="32"/>
        </w:rPr>
        <w:t>maja</w:t>
      </w:r>
      <w:r w:rsidR="001D6793" w:rsidRPr="008A69E9">
        <w:rPr>
          <w:sz w:val="32"/>
          <w:szCs w:val="32"/>
        </w:rPr>
        <w:t xml:space="preserve"> 20</w:t>
      </w:r>
      <w:r w:rsidR="005B4C57" w:rsidRPr="008A69E9">
        <w:rPr>
          <w:sz w:val="32"/>
          <w:szCs w:val="32"/>
        </w:rPr>
        <w:t>22</w:t>
      </w:r>
    </w:p>
    <w:p w14:paraId="2459FC64" w14:textId="77777777" w:rsidR="00DF4F0B" w:rsidRDefault="00DF4F0B"/>
    <w:p w14:paraId="5F0647B5" w14:textId="2641307E" w:rsidR="00063052" w:rsidRPr="008A69E9" w:rsidRDefault="56B873C9" w:rsidP="00063052">
      <w:pPr>
        <w:tabs>
          <w:tab w:val="left" w:pos="580"/>
        </w:tabs>
        <w:rPr>
          <w:szCs w:val="20"/>
        </w:rPr>
      </w:pPr>
      <w:bookmarkStart w:id="0" w:name="_Hlk54096721"/>
      <w:r w:rsidRPr="008A69E9">
        <w:rPr>
          <w:rFonts w:eastAsia="Myriad Pro" w:cs="Myriad Pro"/>
          <w:szCs w:val="20"/>
        </w:rPr>
        <w:t>Rast realnega bruto domačega proizvoda se je v prvem letošnjem četrtletju glede na zadnje lansko umirila, medletna rast pa je predvsem zaradi nizke lanske osnove ostala visoka.</w:t>
      </w:r>
      <w:r w:rsidR="00063052" w:rsidRPr="008A69E9">
        <w:rPr>
          <w:szCs w:val="20"/>
        </w:rPr>
        <w:t xml:space="preserve"> Rast števila delovno aktivnih se je marca medletno umirila, visoka je ostala v gostinstvu in gradbeništvu, ki izstopa</w:t>
      </w:r>
      <w:r w:rsidR="1448941A" w:rsidRPr="008A69E9">
        <w:rPr>
          <w:szCs w:val="20"/>
        </w:rPr>
        <w:t xml:space="preserve"> </w:t>
      </w:r>
      <w:r w:rsidR="00063052" w:rsidRPr="008A69E9">
        <w:rPr>
          <w:szCs w:val="20"/>
        </w:rPr>
        <w:t xml:space="preserve">po deležu tujih delavcev. </w:t>
      </w:r>
      <w:r w:rsidR="009D5868" w:rsidRPr="008A69E9">
        <w:rPr>
          <w:szCs w:val="20"/>
        </w:rPr>
        <w:t>Medletna r</w:t>
      </w:r>
      <w:r w:rsidR="00063052" w:rsidRPr="008A69E9">
        <w:rPr>
          <w:szCs w:val="20"/>
        </w:rPr>
        <w:t xml:space="preserve">ast cen industrijskih proizvodov slovenskih proizvajalcev se je tudi aprila okrepila; cene naraščajo v vseh namenskih skupinah in izraziteje na domačem trgu. Po prilagoditvi za število delovnih dni je aprila poraba elektrike industrijskih in malih poslovnih odjemalcev dosegla ravni primerljivega obdobja pred epidemijo, prav tako tudi gospodinjska poraba, ki pa je bila medletno nižja. Po podatkih o davčnem potrjevanju računov je </w:t>
      </w:r>
      <w:r w:rsidR="00777469" w:rsidRPr="008A69E9">
        <w:rPr>
          <w:szCs w:val="20"/>
        </w:rPr>
        <w:t>bila prodaja v prvi polovici</w:t>
      </w:r>
      <w:r w:rsidR="00063052" w:rsidRPr="008A69E9">
        <w:rPr>
          <w:szCs w:val="20"/>
        </w:rPr>
        <w:t xml:space="preserve"> maja medletno </w:t>
      </w:r>
      <w:r w:rsidR="00777469" w:rsidRPr="008A69E9">
        <w:rPr>
          <w:szCs w:val="20"/>
        </w:rPr>
        <w:t>nominalno višja za dobro desetino</w:t>
      </w:r>
      <w:r w:rsidR="00063052" w:rsidRPr="008A69E9">
        <w:rPr>
          <w:szCs w:val="20"/>
        </w:rPr>
        <w:t>, in sicer zaradi večje prodaje v trgovini</w:t>
      </w:r>
      <w:r w:rsidR="00777469" w:rsidRPr="008A69E9">
        <w:rPr>
          <w:szCs w:val="20"/>
        </w:rPr>
        <w:t xml:space="preserve"> in</w:t>
      </w:r>
      <w:r w:rsidR="00866962" w:rsidRPr="008A69E9">
        <w:rPr>
          <w:szCs w:val="20"/>
        </w:rPr>
        <w:t xml:space="preserve"> </w:t>
      </w:r>
      <w:r w:rsidR="00063052" w:rsidRPr="008A69E9">
        <w:rPr>
          <w:szCs w:val="20"/>
        </w:rPr>
        <w:t>v nekaterih s turizmom povezanih storitvah.</w:t>
      </w:r>
    </w:p>
    <w:bookmarkEnd w:id="0"/>
    <w:p w14:paraId="2459FC66"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rsidRPr="008A69E9" w14:paraId="2459FC69" w14:textId="77777777" w:rsidTr="00AE3498">
        <w:trPr>
          <w:trHeight w:val="207"/>
        </w:trPr>
        <w:tc>
          <w:tcPr>
            <w:tcW w:w="4819" w:type="dxa"/>
            <w:tcBorders>
              <w:bottom w:val="single" w:sz="4" w:space="0" w:color="auto"/>
            </w:tcBorders>
            <w:tcMar>
              <w:left w:w="0" w:type="dxa"/>
            </w:tcMar>
          </w:tcPr>
          <w:p w14:paraId="2459FC67" w14:textId="77777777" w:rsidR="00363E63" w:rsidRPr="008A69E9" w:rsidRDefault="00296BEC" w:rsidP="00731B6F">
            <w:pPr>
              <w:jc w:val="left"/>
              <w:rPr>
                <w:b/>
              </w:rPr>
            </w:pPr>
            <w:r w:rsidRPr="008A69E9">
              <w:rPr>
                <w:b/>
              </w:rPr>
              <w:t>Bruto domači proizvod, 1. četrtletje 2022</w:t>
            </w:r>
          </w:p>
        </w:tc>
        <w:tc>
          <w:tcPr>
            <w:tcW w:w="4820" w:type="dxa"/>
            <w:gridSpan w:val="2"/>
            <w:tcBorders>
              <w:bottom w:val="single" w:sz="4" w:space="0" w:color="auto"/>
            </w:tcBorders>
          </w:tcPr>
          <w:p w14:paraId="2459FC68" w14:textId="77777777" w:rsidR="00363E63" w:rsidRPr="008A69E9" w:rsidRDefault="00363E63" w:rsidP="006C2117">
            <w:pPr>
              <w:rPr>
                <w:b/>
              </w:rPr>
            </w:pPr>
          </w:p>
        </w:tc>
      </w:tr>
      <w:tr w:rsidR="00FA45E3" w14:paraId="2459FC6C" w14:textId="77777777" w:rsidTr="00946C4C">
        <w:trPr>
          <w:trHeight w:val="1134"/>
        </w:trPr>
        <w:tc>
          <w:tcPr>
            <w:tcW w:w="4982" w:type="dxa"/>
            <w:gridSpan w:val="2"/>
            <w:tcBorders>
              <w:top w:val="single" w:sz="4" w:space="0" w:color="auto"/>
            </w:tcBorders>
            <w:tcMar>
              <w:left w:w="0" w:type="dxa"/>
            </w:tcMar>
          </w:tcPr>
          <w:p w14:paraId="2459FC6A" w14:textId="57770DAE" w:rsidR="00FA45E3" w:rsidRDefault="006D74A2" w:rsidP="00F35405">
            <w:pPr>
              <w:pStyle w:val="ListParagraph"/>
              <w:ind w:left="0"/>
            </w:pPr>
            <w:r>
              <w:rPr>
                <w:noProof/>
              </w:rPr>
              <w:drawing>
                <wp:inline distT="0" distB="0" distL="0" distR="0" wp14:anchorId="64E65789" wp14:editId="0D54B8A3">
                  <wp:extent cx="3175200" cy="260280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200" cy="2602800"/>
                          </a:xfrm>
                          <a:prstGeom prst="rect">
                            <a:avLst/>
                          </a:prstGeom>
                          <a:noFill/>
                        </pic:spPr>
                      </pic:pic>
                    </a:graphicData>
                  </a:graphic>
                </wp:inline>
              </w:drawing>
            </w:r>
          </w:p>
        </w:tc>
        <w:tc>
          <w:tcPr>
            <w:tcW w:w="4657" w:type="dxa"/>
            <w:tcBorders>
              <w:top w:val="single" w:sz="4" w:space="0" w:color="auto"/>
            </w:tcBorders>
            <w:tcMar>
              <w:left w:w="284" w:type="dxa"/>
            </w:tcMar>
          </w:tcPr>
          <w:p w14:paraId="2459FC6B" w14:textId="06087997" w:rsidR="00FA45E3" w:rsidRPr="00DF4F0B" w:rsidRDefault="00F9412F" w:rsidP="00946C4C">
            <w:r w:rsidRPr="00F9412F">
              <w:rPr>
                <w:b/>
                <w:bCs/>
              </w:rPr>
              <w:t xml:space="preserve">Realni bruto domači proizvod (BDP) se je v prvem letošnjem četrtletju glede na zadnje lansko povečal za 0,8 %, kar je manj kot v preteklih četrtletjih, medletna rast (9,8 %) pa je predvsem zaradi nizke lanske osnove ostala visoka. </w:t>
            </w:r>
            <w:r w:rsidRPr="00F9412F">
              <w:rPr>
                <w:bCs/>
              </w:rPr>
              <w:t>Rast gospodarske aktivnosti se je umirila zlasti v izvoznem delu gospodarstva, ki se že dalj časa sooča z motnjami v dobavnih verigah in rastočimi stroški, razmere pa so se še zaostrile zaradi vojne v Ukrajini. Na nadaljnjo rast trošenja gospodinjstev pa sta ugodno vplivala postopno sproščanje zajezitvenih ukrepov in razmere na trgu dela z rekordno zaposlenostjo. Kupna moč gospodinjstev je pod vedno večjim vplivom naraščajočih cen, zlasti energentov in hrane. V prvem četrtletju je bila visoka tudi medletna rast investicij, kjer se letos hitreje krepi gradnja nestanovanjskih in stanovanjskih stavb ter inženirskih objektov. V gradbeništvu se sicer povečujejo stroškovni pritiski ter težave zaradi pomanjkanja materiala. Tudi državna potrošnja je bila višja kot v enakem lanskem obdobju, rast je izhajala predvsem iz rasti zaposlenosti</w:t>
            </w:r>
            <w:r w:rsidR="000A2CE8">
              <w:rPr>
                <w:bCs/>
              </w:rPr>
              <w:t xml:space="preserve"> </w:t>
            </w:r>
            <w:r w:rsidRPr="00F9412F">
              <w:rPr>
                <w:bCs/>
              </w:rPr>
              <w:t>ter rasti izdatkov za blago in storitve v zdravstvu.</w:t>
            </w:r>
          </w:p>
        </w:tc>
      </w:tr>
    </w:tbl>
    <w:p w14:paraId="2459FC6D" w14:textId="77777777" w:rsidR="00EE7E6E" w:rsidRDefault="00EE7E6E" w:rsidP="001F51CD">
      <w:pPr>
        <w:tabs>
          <w:tab w:val="left" w:pos="580"/>
        </w:tabs>
      </w:pPr>
    </w:p>
    <w:p w14:paraId="2459FC6E" w14:textId="77777777" w:rsidR="005B4C57" w:rsidRDefault="005B4C57" w:rsidP="001F51CD">
      <w:pPr>
        <w:tabs>
          <w:tab w:val="left" w:pos="580"/>
        </w:tabs>
      </w:pPr>
    </w:p>
    <w:p w14:paraId="2459FC6F" w14:textId="77777777" w:rsidR="005B4C57" w:rsidRDefault="005B4C57" w:rsidP="001F51CD">
      <w:pPr>
        <w:tabs>
          <w:tab w:val="left" w:pos="580"/>
        </w:tabs>
      </w:pPr>
    </w:p>
    <w:p w14:paraId="2459FC70" w14:textId="77777777" w:rsidR="005B4C57" w:rsidRDefault="005B4C57" w:rsidP="001F51CD">
      <w:pPr>
        <w:tabs>
          <w:tab w:val="left" w:pos="580"/>
        </w:tabs>
      </w:pPr>
    </w:p>
    <w:p w14:paraId="2459FC71" w14:textId="77777777" w:rsidR="005B4C57" w:rsidRDefault="005B4C57" w:rsidP="001F51CD">
      <w:pPr>
        <w:tabs>
          <w:tab w:val="left" w:pos="580"/>
        </w:tabs>
      </w:pPr>
    </w:p>
    <w:p w14:paraId="2459FC72" w14:textId="77777777" w:rsidR="005B4C57" w:rsidRDefault="005B4C57" w:rsidP="001F51CD">
      <w:pPr>
        <w:tabs>
          <w:tab w:val="left" w:pos="580"/>
        </w:tabs>
      </w:pPr>
    </w:p>
    <w:p w14:paraId="2459FC78" w14:textId="77777777" w:rsidR="00296BEC" w:rsidRDefault="00296BEC" w:rsidP="001F51CD">
      <w:pPr>
        <w:tabs>
          <w:tab w:val="left" w:pos="580"/>
        </w:tabs>
      </w:pPr>
    </w:p>
    <w:p w14:paraId="2E6834B9" w14:textId="77777777" w:rsidR="00DB1E02" w:rsidRDefault="00DB1E02" w:rsidP="001F51CD">
      <w:pPr>
        <w:tabs>
          <w:tab w:val="left" w:pos="580"/>
        </w:tabs>
      </w:pPr>
    </w:p>
    <w:p w14:paraId="256BE038" w14:textId="77777777" w:rsidR="00DB1E02" w:rsidRDefault="00DB1E02"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363E63" w:rsidRPr="008A69E9" w14:paraId="2459FC7B" w14:textId="77777777" w:rsidTr="473F827A">
        <w:trPr>
          <w:trHeight w:val="207"/>
        </w:trPr>
        <w:tc>
          <w:tcPr>
            <w:tcW w:w="6096" w:type="dxa"/>
            <w:gridSpan w:val="2"/>
            <w:tcBorders>
              <w:bottom w:val="single" w:sz="4" w:space="0" w:color="auto"/>
            </w:tcBorders>
            <w:tcMar>
              <w:left w:w="0" w:type="dxa"/>
            </w:tcMar>
          </w:tcPr>
          <w:p w14:paraId="2459FC79" w14:textId="77777777" w:rsidR="00363E63" w:rsidRPr="008A69E9" w:rsidRDefault="00296BEC" w:rsidP="00731B6F">
            <w:pPr>
              <w:jc w:val="left"/>
              <w:rPr>
                <w:b/>
              </w:rPr>
            </w:pPr>
            <w:r w:rsidRPr="008A69E9">
              <w:rPr>
                <w:b/>
              </w:rPr>
              <w:lastRenderedPageBreak/>
              <w:t>Trg dela, marec 2022</w:t>
            </w:r>
          </w:p>
        </w:tc>
        <w:tc>
          <w:tcPr>
            <w:tcW w:w="3543" w:type="dxa"/>
            <w:tcBorders>
              <w:bottom w:val="single" w:sz="4" w:space="0" w:color="auto"/>
            </w:tcBorders>
          </w:tcPr>
          <w:p w14:paraId="2459FC7A" w14:textId="77777777" w:rsidR="00363E63" w:rsidRPr="008A69E9" w:rsidRDefault="00363E63" w:rsidP="00EB0D39">
            <w:pPr>
              <w:rPr>
                <w:b/>
              </w:rPr>
            </w:pPr>
          </w:p>
        </w:tc>
      </w:tr>
      <w:tr w:rsidR="00652795" w14:paraId="2459FC92" w14:textId="77777777" w:rsidTr="473F827A">
        <w:trPr>
          <w:trHeight w:val="1134"/>
        </w:trPr>
        <w:tc>
          <w:tcPr>
            <w:tcW w:w="4982" w:type="dxa"/>
            <w:tcBorders>
              <w:top w:val="single" w:sz="4" w:space="0" w:color="auto"/>
            </w:tcBorders>
            <w:tcMar>
              <w:left w:w="0" w:type="dxa"/>
            </w:tcMar>
          </w:tcPr>
          <w:p w14:paraId="2459FC7C" w14:textId="48C55933" w:rsidR="00652795" w:rsidRDefault="007C0384" w:rsidP="00EB0D39">
            <w:pPr>
              <w:pStyle w:val="ListParagraph"/>
              <w:ind w:left="0"/>
            </w:pPr>
            <w:r>
              <w:rPr>
                <w:noProof/>
              </w:rPr>
              <w:drawing>
                <wp:inline distT="0" distB="0" distL="0" distR="0" wp14:anchorId="06A4558C" wp14:editId="540F1E31">
                  <wp:extent cx="3196800" cy="2430000"/>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6800" cy="2430000"/>
                          </a:xfrm>
                          <a:prstGeom prst="rect">
                            <a:avLst/>
                          </a:prstGeom>
                          <a:noFill/>
                        </pic:spPr>
                      </pic:pic>
                    </a:graphicData>
                  </a:graphic>
                </wp:inline>
              </w:drawing>
            </w:r>
          </w:p>
          <w:p w14:paraId="2459FC7D" w14:textId="77777777" w:rsidR="00296BEC" w:rsidRDefault="00296BEC" w:rsidP="00EB0D39">
            <w:pPr>
              <w:pStyle w:val="ListParagraph"/>
              <w:ind w:left="0"/>
            </w:pPr>
          </w:p>
          <w:p w14:paraId="2459FC7E" w14:textId="77777777" w:rsidR="00296BEC" w:rsidRDefault="00296BEC" w:rsidP="00EB0D39">
            <w:pPr>
              <w:pStyle w:val="ListParagraph"/>
              <w:ind w:left="0"/>
            </w:pPr>
          </w:p>
          <w:p w14:paraId="2459FC7F" w14:textId="77777777" w:rsidR="00296BEC" w:rsidRDefault="00296BEC" w:rsidP="00EB0D39">
            <w:pPr>
              <w:pStyle w:val="ListParagraph"/>
              <w:ind w:left="0"/>
            </w:pPr>
          </w:p>
          <w:p w14:paraId="2459FC80" w14:textId="77777777" w:rsidR="00296BEC" w:rsidRDefault="00296BEC" w:rsidP="00EB0D39">
            <w:pPr>
              <w:pStyle w:val="ListParagraph"/>
              <w:ind w:left="0"/>
            </w:pPr>
          </w:p>
          <w:p w14:paraId="2459FC81" w14:textId="77777777" w:rsidR="00296BEC" w:rsidRDefault="00296BEC" w:rsidP="00EB0D39">
            <w:pPr>
              <w:pStyle w:val="ListParagraph"/>
              <w:ind w:left="0"/>
            </w:pPr>
          </w:p>
          <w:p w14:paraId="2459FC82" w14:textId="77777777" w:rsidR="00296BEC" w:rsidRDefault="00296BEC" w:rsidP="00EB0D39">
            <w:pPr>
              <w:pStyle w:val="ListParagraph"/>
              <w:ind w:left="0"/>
            </w:pPr>
          </w:p>
          <w:p w14:paraId="2459FC8F" w14:textId="77777777" w:rsidR="00296BEC" w:rsidRDefault="00296BEC" w:rsidP="00EB0D39">
            <w:pPr>
              <w:pStyle w:val="ListParagraph"/>
              <w:ind w:left="0"/>
            </w:pPr>
          </w:p>
        </w:tc>
        <w:tc>
          <w:tcPr>
            <w:tcW w:w="4657" w:type="dxa"/>
            <w:gridSpan w:val="2"/>
            <w:tcBorders>
              <w:top w:val="single" w:sz="4" w:space="0" w:color="auto"/>
            </w:tcBorders>
            <w:tcMar>
              <w:left w:w="284" w:type="dxa"/>
            </w:tcMar>
          </w:tcPr>
          <w:p w14:paraId="3F868FC0" w14:textId="2488C583" w:rsidR="00DF083F" w:rsidRPr="00DF083F" w:rsidRDefault="00DF083F" w:rsidP="00DF083F">
            <w:pPr>
              <w:rPr>
                <w:b/>
                <w:bCs/>
              </w:rPr>
            </w:pPr>
            <w:r w:rsidRPr="4DDA7AE9">
              <w:rPr>
                <w:b/>
                <w:bCs/>
              </w:rPr>
              <w:t xml:space="preserve">Marca je </w:t>
            </w:r>
            <w:r w:rsidR="00063052">
              <w:rPr>
                <w:b/>
                <w:bCs/>
              </w:rPr>
              <w:t xml:space="preserve">bila </w:t>
            </w:r>
            <w:r w:rsidRPr="4DDA7AE9">
              <w:rPr>
                <w:b/>
                <w:bCs/>
              </w:rPr>
              <w:t>medletna rast števila delovno aktivnih (v nadaljevanju DA)</w:t>
            </w:r>
            <w:r w:rsidR="00B50E81">
              <w:rPr>
                <w:b/>
                <w:bCs/>
              </w:rPr>
              <w:t xml:space="preserve"> </w:t>
            </w:r>
            <w:r w:rsidRPr="4DDA7AE9">
              <w:rPr>
                <w:b/>
                <w:bCs/>
              </w:rPr>
              <w:t>nekoliko nižja kot v prvih dveh mesecih (2,9</w:t>
            </w:r>
            <w:r w:rsidR="00B07C5D" w:rsidRPr="00F9412F">
              <w:rPr>
                <w:b/>
                <w:bCs/>
              </w:rPr>
              <w:t> </w:t>
            </w:r>
            <w:r w:rsidRPr="4DDA7AE9">
              <w:rPr>
                <w:b/>
                <w:bCs/>
              </w:rPr>
              <w:t xml:space="preserve">%). </w:t>
            </w:r>
            <w:r>
              <w:t>Zelo visoka je ostala v gostinstvu ter tudi v gradbeništvu. Rast števila DA je bila ob konjunkturi ponovno v veliki meri povezana z delovno aktivnostjo tujcev, ki so k skupni medletni rasti marca prispevali več kot polovico. Raste tudi delež tujcev med vsemi DA, v zadnjem letu se je povečal za 1,2 o. t. na 12,9</w:t>
            </w:r>
            <w:r w:rsidR="00B07C5D" w:rsidRPr="00F9412F">
              <w:rPr>
                <w:b/>
                <w:bCs/>
              </w:rPr>
              <w:t> </w:t>
            </w:r>
            <w:r>
              <w:t xml:space="preserve">%. To je v veliki meri povezano s pomanjkanjem domače delovne sile, ki je </w:t>
            </w:r>
            <w:r w:rsidR="00C544EF">
              <w:t xml:space="preserve">(glede na visoke stopnje prostih delovnih mest) </w:t>
            </w:r>
            <w:r>
              <w:t>največje v gradbeništvu, gostinstvu in drugih raznovrstnih poslovnih dejavnostih. Po deležu tujcev med dejavnostmi sicer izstopajo gradbeništvo (45</w:t>
            </w:r>
            <w:r w:rsidR="00B07C5D" w:rsidRPr="00F9412F">
              <w:rPr>
                <w:b/>
                <w:bCs/>
              </w:rPr>
              <w:t> </w:t>
            </w:r>
            <w:r>
              <w:t>%), promet in skladiščenje (31</w:t>
            </w:r>
            <w:r w:rsidR="00B07C5D" w:rsidRPr="00F9412F">
              <w:rPr>
                <w:b/>
                <w:bCs/>
              </w:rPr>
              <w:t> </w:t>
            </w:r>
            <w:r>
              <w:t>%) ter druge raznovrstne poslovne dejavnosti (25</w:t>
            </w:r>
            <w:r w:rsidR="00B07C5D" w:rsidRPr="00F9412F">
              <w:rPr>
                <w:b/>
                <w:bCs/>
              </w:rPr>
              <w:t> </w:t>
            </w:r>
            <w:r>
              <w:t>%)</w:t>
            </w:r>
            <w:r w:rsidR="00B0702A">
              <w:t>.</w:t>
            </w:r>
          </w:p>
          <w:p w14:paraId="2459FC91" w14:textId="77777777" w:rsidR="00652795" w:rsidRPr="00DF4F0B" w:rsidRDefault="00652795" w:rsidP="00EB0D39"/>
        </w:tc>
      </w:tr>
      <w:tr w:rsidR="00363E63" w:rsidRPr="008A69E9" w14:paraId="2459FC95" w14:textId="77777777" w:rsidTr="473F827A">
        <w:trPr>
          <w:trHeight w:val="207"/>
        </w:trPr>
        <w:tc>
          <w:tcPr>
            <w:tcW w:w="6096" w:type="dxa"/>
            <w:gridSpan w:val="2"/>
            <w:tcBorders>
              <w:bottom w:val="single" w:sz="4" w:space="0" w:color="auto"/>
            </w:tcBorders>
            <w:tcMar>
              <w:left w:w="0" w:type="dxa"/>
            </w:tcMar>
          </w:tcPr>
          <w:p w14:paraId="2459FC93" w14:textId="77777777" w:rsidR="00363E63" w:rsidRPr="008A69E9" w:rsidRDefault="00296BEC" w:rsidP="00731B6F">
            <w:pPr>
              <w:jc w:val="left"/>
              <w:rPr>
                <w:b/>
              </w:rPr>
            </w:pPr>
            <w:r w:rsidRPr="008A69E9">
              <w:rPr>
                <w:b/>
              </w:rPr>
              <w:t>Cene industrijskih proizvodov slovenskih proizvajalcev, april 2022</w:t>
            </w:r>
          </w:p>
        </w:tc>
        <w:tc>
          <w:tcPr>
            <w:tcW w:w="3543" w:type="dxa"/>
            <w:tcBorders>
              <w:bottom w:val="single" w:sz="4" w:space="0" w:color="auto"/>
            </w:tcBorders>
          </w:tcPr>
          <w:p w14:paraId="2459FC94" w14:textId="77777777" w:rsidR="00363E63" w:rsidRPr="008A69E9" w:rsidRDefault="00363E63" w:rsidP="0058360C">
            <w:pPr>
              <w:rPr>
                <w:b/>
              </w:rPr>
            </w:pPr>
          </w:p>
        </w:tc>
      </w:tr>
      <w:tr w:rsidR="00363E63" w14:paraId="2459FC99" w14:textId="77777777" w:rsidTr="473F827A">
        <w:trPr>
          <w:trHeight w:val="1134"/>
        </w:trPr>
        <w:tc>
          <w:tcPr>
            <w:tcW w:w="4982" w:type="dxa"/>
            <w:tcBorders>
              <w:top w:val="single" w:sz="4" w:space="0" w:color="auto"/>
            </w:tcBorders>
            <w:tcMar>
              <w:left w:w="0" w:type="dxa"/>
            </w:tcMar>
          </w:tcPr>
          <w:p w14:paraId="2459FC96" w14:textId="4042432B" w:rsidR="00363E63" w:rsidRDefault="000675D8" w:rsidP="0058360C">
            <w:pPr>
              <w:pStyle w:val="ListParagraph"/>
              <w:ind w:left="0"/>
            </w:pPr>
            <w:r>
              <w:rPr>
                <w:noProof/>
              </w:rPr>
              <w:drawing>
                <wp:inline distT="0" distB="0" distL="0" distR="0" wp14:anchorId="7A70B4C1" wp14:editId="49F6108F">
                  <wp:extent cx="3196800" cy="258840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6800" cy="2588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F615549" w14:textId="720EE2A8" w:rsidR="473F827A" w:rsidRDefault="473F827A" w:rsidP="473F827A">
            <w:pPr>
              <w:rPr>
                <w:rFonts w:eastAsia="Arial"/>
              </w:rPr>
            </w:pPr>
            <w:r w:rsidRPr="1448941A">
              <w:rPr>
                <w:rFonts w:eastAsia="Myriad Pro" w:cs="Myriad Pro"/>
                <w:b/>
              </w:rPr>
              <w:t xml:space="preserve">Geopolitične napetosti, zaostrene razmere na trgu surovin ter ozka grla v dobavnih verigah še naprej pospešujejo rast cen industrijskih proizvodov slovenskih proizvajalcev, ki je </w:t>
            </w:r>
            <w:r w:rsidR="00063052" w:rsidRPr="1448941A">
              <w:rPr>
                <w:rFonts w:eastAsia="Myriad Pro" w:cs="Myriad Pro"/>
                <w:b/>
              </w:rPr>
              <w:t xml:space="preserve">bila </w:t>
            </w:r>
            <w:r w:rsidRPr="1448941A">
              <w:rPr>
                <w:rFonts w:eastAsia="Myriad Pro" w:cs="Myriad Pro"/>
                <w:b/>
              </w:rPr>
              <w:t>aprila</w:t>
            </w:r>
            <w:r w:rsidR="127A30AD" w:rsidRPr="1448941A">
              <w:rPr>
                <w:rFonts w:eastAsia="Myriad Pro" w:cs="Myriad Pro"/>
                <w:b/>
                <w:bCs/>
              </w:rPr>
              <w:t xml:space="preserve"> </w:t>
            </w:r>
            <w:r w:rsidR="00884D6C">
              <w:rPr>
                <w:rFonts w:eastAsia="Myriad Pro" w:cs="Myriad Pro"/>
                <w:b/>
                <w:bCs/>
              </w:rPr>
              <w:t xml:space="preserve">medletno </w:t>
            </w:r>
            <w:r w:rsidRPr="1448941A">
              <w:rPr>
                <w:rFonts w:eastAsia="Myriad Pro" w:cs="Myriad Pro"/>
                <w:b/>
              </w:rPr>
              <w:t xml:space="preserve">že 20,4-odstotna. </w:t>
            </w:r>
            <w:r w:rsidRPr="1448941A">
              <w:rPr>
                <w:rFonts w:eastAsia="Myriad Pro" w:cs="Myriad Pro"/>
              </w:rPr>
              <w:t>Rast cen se krepi v vseh namenskih skupinah, izraziteje na domačem trgu, kjer je bila na medletni ravni 23,4-odstotna. K skupni rasti še naprej največ prispevajo cene surovin, ki so bile medletno višje že za 27,1</w:t>
            </w:r>
            <w:r w:rsidR="00C33B81" w:rsidRPr="00F9412F">
              <w:rPr>
                <w:b/>
                <w:bCs/>
              </w:rPr>
              <w:t> </w:t>
            </w:r>
            <w:r w:rsidRPr="1448941A">
              <w:rPr>
                <w:rFonts w:eastAsia="Myriad Pro" w:cs="Myriad Pro"/>
              </w:rPr>
              <w:t>%. Najvišja ostaja medletna rast cen energentov, ki je presegla 60</w:t>
            </w:r>
            <w:r w:rsidR="00C33B81" w:rsidRPr="00F9412F">
              <w:rPr>
                <w:b/>
                <w:bCs/>
              </w:rPr>
              <w:t> </w:t>
            </w:r>
            <w:r w:rsidRPr="1448941A">
              <w:rPr>
                <w:rFonts w:eastAsia="Myriad Pro" w:cs="Myriad Pro"/>
              </w:rPr>
              <w:t>%, a je bil prispevek k skupni rasti v primerjavi s surovinami, zaradi manjše uteži, nižji. Po tem ko se je medletna rast cen proizvodov za investicije v prvem četrtletju letos gibala okrog 10</w:t>
            </w:r>
            <w:r w:rsidR="00BE737E" w:rsidRPr="00F9412F">
              <w:rPr>
                <w:b/>
                <w:bCs/>
              </w:rPr>
              <w:t> </w:t>
            </w:r>
            <w:r w:rsidR="18A98714" w:rsidRPr="1448941A">
              <w:rPr>
                <w:rFonts w:eastAsia="Myriad Pro" w:cs="Myriad Pro"/>
              </w:rPr>
              <w:t>%</w:t>
            </w:r>
            <w:r w:rsidRPr="1448941A">
              <w:rPr>
                <w:rFonts w:eastAsia="Myriad Pro" w:cs="Myriad Pro"/>
              </w:rPr>
              <w:t>, se je aprila okrepila na 12,0</w:t>
            </w:r>
            <w:r w:rsidR="00BE737E" w:rsidRPr="00F9412F">
              <w:rPr>
                <w:b/>
                <w:bCs/>
              </w:rPr>
              <w:t> </w:t>
            </w:r>
            <w:r w:rsidRPr="1448941A">
              <w:rPr>
                <w:rFonts w:eastAsia="Myriad Pro" w:cs="Myriad Pro"/>
              </w:rPr>
              <w:t xml:space="preserve">%. Rast </w:t>
            </w:r>
            <w:r w:rsidR="18A98714" w:rsidRPr="1448941A">
              <w:rPr>
                <w:rFonts w:eastAsia="Myriad Pro" w:cs="Myriad Pro"/>
              </w:rPr>
              <w:t xml:space="preserve">pod </w:t>
            </w:r>
            <w:r w:rsidRPr="1448941A">
              <w:rPr>
                <w:rFonts w:eastAsia="Myriad Pro" w:cs="Myriad Pro"/>
              </w:rPr>
              <w:t>10</w:t>
            </w:r>
            <w:r w:rsidR="00BE737E" w:rsidRPr="00F9412F">
              <w:rPr>
                <w:b/>
                <w:bCs/>
              </w:rPr>
              <w:t> </w:t>
            </w:r>
            <w:r w:rsidRPr="1448941A">
              <w:rPr>
                <w:rFonts w:eastAsia="Myriad Pro" w:cs="Myriad Pro"/>
              </w:rPr>
              <w:t xml:space="preserve">% </w:t>
            </w:r>
            <w:r w:rsidR="18A98714" w:rsidRPr="1448941A">
              <w:rPr>
                <w:rFonts w:eastAsia="Myriad Pro" w:cs="Myriad Pro"/>
              </w:rPr>
              <w:t>je tako le še v skupini</w:t>
            </w:r>
            <w:r w:rsidRPr="1448941A">
              <w:rPr>
                <w:rFonts w:eastAsia="Myriad Pro" w:cs="Myriad Pro"/>
              </w:rPr>
              <w:t xml:space="preserve"> proizvodov za končno porabo, kjer so bile cene trajnega blaga </w:t>
            </w:r>
            <w:r w:rsidR="18A98714" w:rsidRPr="1448941A">
              <w:rPr>
                <w:rFonts w:eastAsia="Myriad Pro" w:cs="Myriad Pro"/>
              </w:rPr>
              <w:t xml:space="preserve">medletno </w:t>
            </w:r>
            <w:r w:rsidRPr="1448941A">
              <w:rPr>
                <w:rFonts w:eastAsia="Myriad Pro" w:cs="Myriad Pro"/>
              </w:rPr>
              <w:t>višje za 6,6 %, netrajnega pa za 8,7</w:t>
            </w:r>
            <w:r w:rsidR="00C33B81" w:rsidRPr="00F9412F">
              <w:rPr>
                <w:b/>
                <w:bCs/>
              </w:rPr>
              <w:t> </w:t>
            </w:r>
            <w:r w:rsidRPr="1448941A">
              <w:rPr>
                <w:rFonts w:eastAsia="Myriad Pro" w:cs="Myriad Pro"/>
              </w:rPr>
              <w:t>%.</w:t>
            </w:r>
          </w:p>
          <w:p w14:paraId="2459FC98" w14:textId="77777777" w:rsidR="00363E63" w:rsidRPr="00DF4F0B" w:rsidRDefault="00363E63" w:rsidP="005B4C57"/>
        </w:tc>
      </w:tr>
    </w:tbl>
    <w:p w14:paraId="2459FC9A" w14:textId="77777777" w:rsidR="00363E63" w:rsidRDefault="00363E63" w:rsidP="00363E63">
      <w:pPr>
        <w:tabs>
          <w:tab w:val="left" w:pos="580"/>
        </w:tabs>
      </w:pPr>
    </w:p>
    <w:p w14:paraId="2459FC9B" w14:textId="77777777" w:rsidR="005B4C57" w:rsidRDefault="005B4C57" w:rsidP="00363E63">
      <w:pPr>
        <w:tabs>
          <w:tab w:val="left" w:pos="580"/>
        </w:tabs>
      </w:pPr>
    </w:p>
    <w:p w14:paraId="2459FC9C" w14:textId="77777777" w:rsidR="005B4C57" w:rsidRDefault="005B4C57" w:rsidP="00363E63">
      <w:pPr>
        <w:tabs>
          <w:tab w:val="left" w:pos="580"/>
        </w:tabs>
      </w:pPr>
    </w:p>
    <w:p w14:paraId="2459FC9D" w14:textId="77777777" w:rsidR="005B4C57" w:rsidRDefault="005B4C57" w:rsidP="00363E63">
      <w:pPr>
        <w:tabs>
          <w:tab w:val="left" w:pos="580"/>
        </w:tabs>
      </w:pPr>
    </w:p>
    <w:p w14:paraId="2459FC9E" w14:textId="77777777" w:rsidR="005B4C57" w:rsidRDefault="005B4C57" w:rsidP="00363E63">
      <w:pPr>
        <w:tabs>
          <w:tab w:val="left" w:pos="580"/>
        </w:tabs>
      </w:pPr>
    </w:p>
    <w:p w14:paraId="2459FC9F" w14:textId="77777777" w:rsidR="005B4C57" w:rsidRDefault="005B4C57" w:rsidP="00363E63">
      <w:pPr>
        <w:tabs>
          <w:tab w:val="left" w:pos="580"/>
        </w:tabs>
      </w:pPr>
    </w:p>
    <w:p w14:paraId="74E58024" w14:textId="77777777" w:rsidR="00BE737E" w:rsidRDefault="00BE737E" w:rsidP="00363E63">
      <w:pPr>
        <w:tabs>
          <w:tab w:val="left" w:pos="580"/>
        </w:tabs>
      </w:pPr>
    </w:p>
    <w:p w14:paraId="2459FCA0" w14:textId="77777777" w:rsidR="00296BEC" w:rsidRDefault="00296BEC" w:rsidP="00363E63">
      <w:pPr>
        <w:tabs>
          <w:tab w:val="left" w:pos="580"/>
        </w:tabs>
      </w:pPr>
    </w:p>
    <w:p w14:paraId="2459FCA1" w14:textId="77777777" w:rsidR="00296BEC" w:rsidRDefault="00296BEC" w:rsidP="00363E63">
      <w:pPr>
        <w:tabs>
          <w:tab w:val="left" w:pos="580"/>
        </w:tabs>
      </w:pPr>
    </w:p>
    <w:p w14:paraId="4680C7FC" w14:textId="77777777" w:rsidR="007C0384" w:rsidRDefault="007C0384" w:rsidP="00363E6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96BEC" w:rsidRPr="008A69E9" w14:paraId="2459FCA7" w14:textId="77777777" w:rsidTr="001B4AED">
        <w:trPr>
          <w:trHeight w:val="207"/>
        </w:trPr>
        <w:tc>
          <w:tcPr>
            <w:tcW w:w="4819" w:type="dxa"/>
            <w:tcBorders>
              <w:bottom w:val="single" w:sz="4" w:space="0" w:color="auto"/>
            </w:tcBorders>
            <w:tcMar>
              <w:left w:w="0" w:type="dxa"/>
            </w:tcMar>
          </w:tcPr>
          <w:p w14:paraId="2459FCA5" w14:textId="77777777" w:rsidR="00296BEC" w:rsidRPr="008A69E9" w:rsidRDefault="00296BEC" w:rsidP="001B4AED">
            <w:pPr>
              <w:jc w:val="left"/>
              <w:rPr>
                <w:b/>
              </w:rPr>
            </w:pPr>
            <w:r w:rsidRPr="008A69E9">
              <w:rPr>
                <w:b/>
              </w:rPr>
              <w:lastRenderedPageBreak/>
              <w:t>Poraba elektrike po odjemnih skupinah, april 2022</w:t>
            </w:r>
          </w:p>
        </w:tc>
        <w:tc>
          <w:tcPr>
            <w:tcW w:w="4820" w:type="dxa"/>
            <w:gridSpan w:val="2"/>
            <w:tcBorders>
              <w:bottom w:val="single" w:sz="4" w:space="0" w:color="auto"/>
            </w:tcBorders>
          </w:tcPr>
          <w:p w14:paraId="2459FCA6" w14:textId="77777777" w:rsidR="00296BEC" w:rsidRPr="008A69E9" w:rsidRDefault="00296BEC" w:rsidP="001B4AED">
            <w:pPr>
              <w:rPr>
                <w:b/>
              </w:rPr>
            </w:pPr>
          </w:p>
        </w:tc>
      </w:tr>
      <w:tr w:rsidR="00296BEC" w14:paraId="2459FCAB" w14:textId="77777777" w:rsidTr="001B4AED">
        <w:trPr>
          <w:trHeight w:val="1134"/>
        </w:trPr>
        <w:tc>
          <w:tcPr>
            <w:tcW w:w="4982" w:type="dxa"/>
            <w:gridSpan w:val="2"/>
            <w:tcBorders>
              <w:top w:val="single" w:sz="4" w:space="0" w:color="auto"/>
            </w:tcBorders>
            <w:tcMar>
              <w:left w:w="0" w:type="dxa"/>
            </w:tcMar>
          </w:tcPr>
          <w:p w14:paraId="2459FCA8" w14:textId="65070967" w:rsidR="00296BEC" w:rsidRDefault="004E5F4C" w:rsidP="001B4AED">
            <w:pPr>
              <w:pStyle w:val="ListParagraph"/>
              <w:ind w:left="0"/>
            </w:pPr>
            <w:r>
              <w:rPr>
                <w:noProof/>
              </w:rPr>
              <w:drawing>
                <wp:inline distT="0" distB="0" distL="0" distR="0" wp14:anchorId="6430341F" wp14:editId="1B4C5D4F">
                  <wp:extent cx="3031200" cy="24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200" cy="2448000"/>
                          </a:xfrm>
                          <a:prstGeom prst="rect">
                            <a:avLst/>
                          </a:prstGeom>
                          <a:noFill/>
                        </pic:spPr>
                      </pic:pic>
                    </a:graphicData>
                  </a:graphic>
                </wp:inline>
              </w:drawing>
            </w:r>
          </w:p>
        </w:tc>
        <w:tc>
          <w:tcPr>
            <w:tcW w:w="4657" w:type="dxa"/>
            <w:tcBorders>
              <w:top w:val="single" w:sz="4" w:space="0" w:color="auto"/>
            </w:tcBorders>
            <w:tcMar>
              <w:left w:w="284" w:type="dxa"/>
            </w:tcMar>
          </w:tcPr>
          <w:p w14:paraId="75DDB7F5" w14:textId="42503CFA" w:rsidR="002C0227" w:rsidRPr="002C0227" w:rsidRDefault="002C0227" w:rsidP="002C0227">
            <w:r w:rsidRPr="002C0227">
              <w:rPr>
                <w:b/>
                <w:bCs/>
              </w:rPr>
              <w:t xml:space="preserve">Aprila sta porabi elektrike industrijskih in malih poslovnih odjemalcev, prilagojeni za število delovnih dni, dosegli ravni iz enakega obdobja leta 2019. </w:t>
            </w:r>
            <w:r w:rsidRPr="002C0227">
              <w:t>Industrijska poraba je bila aprila ob enem delovnem dnevu manj medletno nižja za 1,7</w:t>
            </w:r>
            <w:r w:rsidR="00450485" w:rsidRPr="00F9412F">
              <w:rPr>
                <w:b/>
                <w:bCs/>
              </w:rPr>
              <w:t> </w:t>
            </w:r>
            <w:r w:rsidRPr="002C0227">
              <w:t>%, poraba malega poslovnega odjema</w:t>
            </w:r>
            <w:r w:rsidRPr="002C0227">
              <w:rPr>
                <w:vertAlign w:val="superscript"/>
              </w:rPr>
              <w:footnoteReference w:id="2"/>
            </w:r>
            <w:r w:rsidRPr="002C0227">
              <w:t xml:space="preserve"> pa</w:t>
            </w:r>
            <w:r w:rsidR="00B50E81">
              <w:t xml:space="preserve"> </w:t>
            </w:r>
            <w:r w:rsidRPr="002C0227">
              <w:t>višja za 12,2</w:t>
            </w:r>
            <w:r w:rsidR="00B50E81">
              <w:t> </w:t>
            </w:r>
            <w:r w:rsidRPr="002C0227">
              <w:t>%. Slednje je bilo predvsem zaradi nizke porabe ob zaprtju države v začetku lanskega aprila, ko je bilo med drugim prekinjeno poslovanje nenujnih trgovin in storitvenih dejavnosti. Posledično je bila aprila gospodinjska poraba za 3,1</w:t>
            </w:r>
            <w:r w:rsidR="000A03BE" w:rsidRPr="00F9412F">
              <w:rPr>
                <w:b/>
                <w:bCs/>
              </w:rPr>
              <w:t> </w:t>
            </w:r>
            <w:r w:rsidRPr="002C0227">
              <w:t>% nižja kot pred letom. V primerjavi z aprilom 2019 je bila industrijska poraba nižja za 6,5</w:t>
            </w:r>
            <w:r w:rsidR="000A03BE" w:rsidRPr="00F9412F">
              <w:rPr>
                <w:b/>
                <w:bCs/>
              </w:rPr>
              <w:t> </w:t>
            </w:r>
            <w:r w:rsidRPr="002C0227">
              <w:t>%, poraba malega poslovnega odjema pa za 3,7</w:t>
            </w:r>
            <w:r w:rsidR="000A03BE" w:rsidRPr="00F9412F">
              <w:rPr>
                <w:b/>
                <w:bCs/>
              </w:rPr>
              <w:t> </w:t>
            </w:r>
            <w:r w:rsidRPr="002C0227">
              <w:t xml:space="preserve">%, kot posledica dveh delovnih dni manj in manj ugodne razporeditve praznikov ob letošnjem prvem maju z vidika delovanja gospodarstva. Po prilagoditvi za število delovnih dni sta </w:t>
            </w:r>
            <w:r w:rsidR="007B66D5">
              <w:t xml:space="preserve">aprila </w:t>
            </w:r>
            <w:r w:rsidRPr="002C0227">
              <w:t>porabi dosegli ravni iz enakega obdobja leta 2019. Gospodinjska poraba je tudi aprila presegla tisto iz enakega obdobja leta 2019 (5,2</w:t>
            </w:r>
            <w:r w:rsidR="0047730B" w:rsidRPr="00F9412F">
              <w:rPr>
                <w:b/>
                <w:bCs/>
              </w:rPr>
              <w:t> </w:t>
            </w:r>
            <w:r w:rsidRPr="002C0227">
              <w:t>%), a je bil presežek zaradi boljših epidemičnih razmer in verjetno manjšega obsega dela od doma manjši kot mesec prej (8,5</w:t>
            </w:r>
            <w:r w:rsidR="0047730B" w:rsidRPr="00F9412F">
              <w:rPr>
                <w:b/>
                <w:bCs/>
              </w:rPr>
              <w:t> </w:t>
            </w:r>
            <w:r w:rsidRPr="002C0227">
              <w:t>%). </w:t>
            </w:r>
          </w:p>
          <w:p w14:paraId="55E730EE" w14:textId="77777777" w:rsidR="002C0227" w:rsidRPr="002C0227" w:rsidRDefault="002C0227" w:rsidP="002C0227">
            <w:pPr>
              <w:rPr>
                <w:b/>
                <w:bCs/>
              </w:rPr>
            </w:pPr>
          </w:p>
          <w:p w14:paraId="2459FCA9" w14:textId="214D0F47" w:rsidR="00296BEC" w:rsidRPr="00DF4F0B" w:rsidRDefault="00296BEC" w:rsidP="001B4AED"/>
          <w:p w14:paraId="2459FCAA" w14:textId="77777777" w:rsidR="00296BEC" w:rsidRPr="00DF4F0B" w:rsidRDefault="00296BEC" w:rsidP="001B4AED"/>
        </w:tc>
      </w:tr>
    </w:tbl>
    <w:p w14:paraId="6EC69DD9" w14:textId="77777777" w:rsidR="007C0384" w:rsidRDefault="007C0384" w:rsidP="00363E63">
      <w:pPr>
        <w:tabs>
          <w:tab w:val="left" w:pos="580"/>
        </w:tabs>
      </w:pPr>
    </w:p>
    <w:p w14:paraId="2459FCB6" w14:textId="77777777" w:rsidR="00296BEC" w:rsidRDefault="00296BEC" w:rsidP="00363E6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523"/>
        <w:gridCol w:w="1134"/>
      </w:tblGrid>
      <w:tr w:rsidR="00296BEC" w:rsidRPr="008A69E9" w14:paraId="2459FCB9" w14:textId="77777777" w:rsidTr="00752DF3">
        <w:trPr>
          <w:trHeight w:val="207"/>
        </w:trPr>
        <w:tc>
          <w:tcPr>
            <w:tcW w:w="8505" w:type="dxa"/>
            <w:gridSpan w:val="2"/>
            <w:tcBorders>
              <w:bottom w:val="single" w:sz="4" w:space="0" w:color="auto"/>
            </w:tcBorders>
            <w:tcMar>
              <w:left w:w="0" w:type="dxa"/>
            </w:tcMar>
          </w:tcPr>
          <w:p w14:paraId="2459FCB7" w14:textId="702A3651" w:rsidR="00296BEC" w:rsidRPr="008A69E9" w:rsidRDefault="00296BEC" w:rsidP="001B4AED">
            <w:pPr>
              <w:jc w:val="left"/>
              <w:rPr>
                <w:b/>
              </w:rPr>
            </w:pPr>
            <w:r w:rsidRPr="008A69E9">
              <w:rPr>
                <w:b/>
              </w:rPr>
              <w:t>Prodaja na osnovi davčno potrjenih raču</w:t>
            </w:r>
            <w:bookmarkStart w:id="1" w:name="_GoBack"/>
            <w:bookmarkEnd w:id="1"/>
            <w:r w:rsidRPr="008A69E9">
              <w:rPr>
                <w:b/>
              </w:rPr>
              <w:t xml:space="preserve">nov, </w:t>
            </w:r>
            <w:r w:rsidR="00F04B10" w:rsidRPr="008A69E9">
              <w:rPr>
                <w:b/>
              </w:rPr>
              <w:t xml:space="preserve">nominalno, </w:t>
            </w:r>
            <w:r w:rsidRPr="008A69E9">
              <w:rPr>
                <w:b/>
              </w:rPr>
              <w:t>od</w:t>
            </w:r>
            <w:r w:rsidR="00F04B10" w:rsidRPr="008A69E9">
              <w:rPr>
                <w:b/>
              </w:rPr>
              <w:t xml:space="preserve"> 1. </w:t>
            </w:r>
            <w:r w:rsidRPr="008A69E9">
              <w:rPr>
                <w:b/>
              </w:rPr>
              <w:t xml:space="preserve">do </w:t>
            </w:r>
            <w:r w:rsidR="00F04B10" w:rsidRPr="008A69E9">
              <w:rPr>
                <w:b/>
              </w:rPr>
              <w:t>14. maja 2022</w:t>
            </w:r>
          </w:p>
        </w:tc>
        <w:tc>
          <w:tcPr>
            <w:tcW w:w="1134" w:type="dxa"/>
            <w:tcBorders>
              <w:bottom w:val="single" w:sz="4" w:space="0" w:color="auto"/>
            </w:tcBorders>
          </w:tcPr>
          <w:p w14:paraId="2459FCB8" w14:textId="77777777" w:rsidR="00296BEC" w:rsidRPr="008A69E9" w:rsidRDefault="00296BEC" w:rsidP="001B4AED">
            <w:pPr>
              <w:rPr>
                <w:b/>
              </w:rPr>
            </w:pPr>
          </w:p>
        </w:tc>
      </w:tr>
      <w:tr w:rsidR="00296BEC" w14:paraId="2459FCBD" w14:textId="77777777" w:rsidTr="001B4AED">
        <w:trPr>
          <w:trHeight w:val="1134"/>
        </w:trPr>
        <w:tc>
          <w:tcPr>
            <w:tcW w:w="4982" w:type="dxa"/>
            <w:tcBorders>
              <w:top w:val="single" w:sz="4" w:space="0" w:color="auto"/>
            </w:tcBorders>
            <w:tcMar>
              <w:left w:w="0" w:type="dxa"/>
            </w:tcMar>
          </w:tcPr>
          <w:p w14:paraId="2459FCBA" w14:textId="59D0A6AA" w:rsidR="00296BEC" w:rsidRDefault="007C0384" w:rsidP="001B4AED">
            <w:pPr>
              <w:pStyle w:val="ListParagraph"/>
              <w:ind w:left="0"/>
            </w:pPr>
            <w:r>
              <w:rPr>
                <w:noProof/>
              </w:rPr>
              <w:drawing>
                <wp:inline distT="0" distB="0" distL="0" distR="0" wp14:anchorId="6287968F" wp14:editId="5C3DC362">
                  <wp:extent cx="3088800" cy="24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B7416DA" w14:textId="087F6804" w:rsidR="00F04B10" w:rsidRDefault="00F04B10" w:rsidP="00F04B10">
            <w:pPr>
              <w:rPr>
                <w:color w:val="000000"/>
                <w:shd w:val="clear" w:color="auto" w:fill="FFFFFF"/>
              </w:rPr>
            </w:pPr>
            <w:r w:rsidRPr="00144D3A">
              <w:rPr>
                <w:rFonts w:eastAsia="Myriad Pro" w:cs="Myriad Pro"/>
                <w:b/>
                <w:bCs/>
                <w:color w:val="000000" w:themeColor="text1"/>
                <w:lang w:val="sl"/>
              </w:rPr>
              <w:t xml:space="preserve">Po podatkih o davčnem potrjevanju računov je bila skupna prodaja med </w:t>
            </w:r>
            <w:r>
              <w:rPr>
                <w:rFonts w:eastAsia="Myriad Pro" w:cs="Myriad Pro"/>
                <w:b/>
                <w:bCs/>
                <w:color w:val="000000" w:themeColor="text1"/>
                <w:lang w:val="sl"/>
              </w:rPr>
              <w:t>1.</w:t>
            </w:r>
            <w:r w:rsidRPr="00144D3A">
              <w:rPr>
                <w:rFonts w:eastAsia="Myriad Pro" w:cs="Myriad Pro"/>
                <w:b/>
                <w:bCs/>
                <w:color w:val="000000" w:themeColor="text1"/>
                <w:lang w:val="sl"/>
              </w:rPr>
              <w:t xml:space="preserve"> in </w:t>
            </w:r>
            <w:r>
              <w:rPr>
                <w:rFonts w:eastAsia="Myriad Pro" w:cs="Myriad Pro"/>
                <w:b/>
                <w:bCs/>
                <w:color w:val="000000" w:themeColor="text1"/>
                <w:lang w:val="sl"/>
              </w:rPr>
              <w:t>14</w:t>
            </w:r>
            <w:r w:rsidRPr="00144D3A">
              <w:rPr>
                <w:rFonts w:eastAsia="Myriad Pro" w:cs="Myriad Pro"/>
                <w:b/>
                <w:bCs/>
                <w:color w:val="000000" w:themeColor="text1"/>
                <w:lang w:val="sl"/>
              </w:rPr>
              <w:t xml:space="preserve">. </w:t>
            </w:r>
            <w:r>
              <w:rPr>
                <w:rFonts w:eastAsia="Myriad Pro" w:cs="Myriad Pro"/>
                <w:b/>
                <w:bCs/>
                <w:color w:val="000000" w:themeColor="text1"/>
                <w:lang w:val="sl"/>
              </w:rPr>
              <w:t>majem</w:t>
            </w:r>
            <w:r w:rsidRPr="00144D3A">
              <w:rPr>
                <w:rFonts w:eastAsia="Myriad Pro" w:cs="Myriad Pro"/>
                <w:b/>
                <w:bCs/>
                <w:color w:val="000000" w:themeColor="text1"/>
                <w:lang w:val="sl"/>
              </w:rPr>
              <w:t xml:space="preserve"> 2022 </w:t>
            </w:r>
            <w:r w:rsidRPr="0040075F">
              <w:rPr>
                <w:rFonts w:eastAsia="Myriad Pro" w:cs="Myriad Pro"/>
                <w:b/>
                <w:bCs/>
                <w:color w:val="000000" w:themeColor="text1"/>
                <w:lang w:val="sl"/>
              </w:rPr>
              <w:t xml:space="preserve">medletno nominalno </w:t>
            </w:r>
            <w:r w:rsidRPr="00490CCB">
              <w:rPr>
                <w:rFonts w:eastAsia="Myriad Pro" w:cs="Myriad Pro"/>
                <w:b/>
                <w:bCs/>
                <w:color w:val="000000" w:themeColor="text1"/>
                <w:lang w:val="sl"/>
              </w:rPr>
              <w:t>višja za 13</w:t>
            </w:r>
            <w:r w:rsidRPr="00490CCB">
              <w:rPr>
                <w:rFonts w:ascii="Arial" w:eastAsia="Arial" w:hAnsi="Arial" w:cs="Arial"/>
                <w:b/>
                <w:bCs/>
                <w:color w:val="000000" w:themeColor="text1"/>
                <w:lang w:val="sl"/>
              </w:rPr>
              <w:t> </w:t>
            </w:r>
            <w:r w:rsidRPr="00490CCB">
              <w:rPr>
                <w:rFonts w:eastAsia="Myriad Pro" w:cs="Myriad Pro"/>
                <w:b/>
                <w:bCs/>
                <w:color w:val="000000" w:themeColor="text1"/>
                <w:lang w:val="sl"/>
              </w:rPr>
              <w:t>%, glede na enako obdobje 2019 pa za 19 %.</w:t>
            </w:r>
            <w:r w:rsidRPr="006357D4">
              <w:rPr>
                <w:rFonts w:eastAsia="Myriad Pro" w:cs="Myriad Pro"/>
                <w:b/>
                <w:bCs/>
                <w:color w:val="000000" w:themeColor="text1"/>
                <w:lang w:val="sl"/>
              </w:rPr>
              <w:t xml:space="preserve"> </w:t>
            </w:r>
            <w:r w:rsidRPr="00144D3A">
              <w:rPr>
                <w:rFonts w:eastAsia="Myriad Pro" w:cs="Myriad Pro"/>
                <w:color w:val="000000" w:themeColor="text1"/>
                <w:lang w:val="sl"/>
              </w:rPr>
              <w:t>Medletna</w:t>
            </w:r>
            <w:r w:rsidRPr="00B25AF6">
              <w:rPr>
                <w:rFonts w:eastAsia="Myriad Pro" w:cs="Myriad Pro"/>
                <w:color w:val="000000" w:themeColor="text1"/>
                <w:lang w:val="sl"/>
              </w:rPr>
              <w:t xml:space="preserve"> </w:t>
            </w:r>
            <w:r w:rsidRPr="00144D3A">
              <w:rPr>
                <w:rFonts w:eastAsia="Myriad Pro" w:cs="Myriad Pro"/>
                <w:color w:val="000000" w:themeColor="text1"/>
                <w:lang w:val="sl"/>
              </w:rPr>
              <w:t xml:space="preserve">rast je </w:t>
            </w:r>
            <w:r>
              <w:rPr>
                <w:rFonts w:eastAsia="Myriad Pro" w:cs="Myriad Pro"/>
                <w:color w:val="000000" w:themeColor="text1"/>
                <w:lang w:val="sl"/>
              </w:rPr>
              <w:t>bila podobna rasti</w:t>
            </w:r>
            <w:r w:rsidRPr="00144D3A">
              <w:rPr>
                <w:rFonts w:eastAsia="Myriad Pro" w:cs="Myriad Pro"/>
                <w:color w:val="000000" w:themeColor="text1"/>
                <w:lang w:val="sl"/>
              </w:rPr>
              <w:t xml:space="preserve"> v prejšnjih dveh tednih</w:t>
            </w:r>
            <w:r>
              <w:rPr>
                <w:rFonts w:eastAsia="Myriad Pro" w:cs="Myriad Pro"/>
                <w:color w:val="000000" w:themeColor="text1"/>
                <w:lang w:val="sl"/>
              </w:rPr>
              <w:t>.</w:t>
            </w:r>
            <w:r w:rsidR="127A30AD" w:rsidRPr="1448941A">
              <w:rPr>
                <w:rFonts w:eastAsia="Myriad Pro" w:cs="Myriad Pro"/>
                <w:color w:val="000000" w:themeColor="text1"/>
                <w:lang w:val="sl"/>
              </w:rPr>
              <w:t xml:space="preserve"> </w:t>
            </w:r>
            <w:r>
              <w:rPr>
                <w:rFonts w:eastAsia="Myriad Pro" w:cs="Myriad Pro"/>
                <w:color w:val="000000" w:themeColor="text1"/>
                <w:lang w:val="sl"/>
              </w:rPr>
              <w:t xml:space="preserve">Pri tem </w:t>
            </w:r>
            <w:r w:rsidR="0C2FFBCC">
              <w:rPr>
                <w:rFonts w:eastAsia="Myriad Pro" w:cs="Myriad Pro"/>
                <w:color w:val="000000" w:themeColor="text1"/>
                <w:lang w:val="sl"/>
              </w:rPr>
              <w:t xml:space="preserve">se </w:t>
            </w:r>
            <w:r>
              <w:rPr>
                <w:rFonts w:eastAsia="Myriad Pro" w:cs="Myriad Pro"/>
                <w:color w:val="000000" w:themeColor="text1"/>
                <w:lang w:val="sl"/>
              </w:rPr>
              <w:t xml:space="preserve">je </w:t>
            </w:r>
            <w:r>
              <w:rPr>
                <w:color w:val="000000"/>
                <w:shd w:val="clear" w:color="auto" w:fill="FFFFFF"/>
              </w:rPr>
              <w:t xml:space="preserve">v trgovini </w:t>
            </w:r>
            <w:r w:rsidR="0C2FFBCC" w:rsidRPr="14A58476">
              <w:rPr>
                <w:color w:val="000000" w:themeColor="text1"/>
              </w:rPr>
              <w:t>okrepila</w:t>
            </w:r>
            <w:r w:rsidR="0C2FFBCC" w:rsidRPr="1448941A">
              <w:rPr>
                <w:color w:val="000000" w:themeColor="text1"/>
              </w:rPr>
              <w:t xml:space="preserve"> </w:t>
            </w:r>
            <w:r>
              <w:rPr>
                <w:color w:val="000000"/>
                <w:shd w:val="clear" w:color="auto" w:fill="FFFFFF"/>
              </w:rPr>
              <w:t xml:space="preserve">(predvsem zaradi višje rasti v trgovini na drobno in manjšega medletnega upada v trgovini z motornimi vozili), </w:t>
            </w:r>
            <w:r w:rsidR="0C2FFBCC" w:rsidRPr="1448941A">
              <w:rPr>
                <w:color w:val="000000" w:themeColor="text1"/>
              </w:rPr>
              <w:t>v nekaterih s turizmom povezanih storitvah</w:t>
            </w:r>
            <w:r w:rsidR="1448941A" w:rsidRPr="1448941A">
              <w:rPr>
                <w:color w:val="000000" w:themeColor="text1"/>
              </w:rPr>
              <w:t xml:space="preserve"> pa je bila </w:t>
            </w:r>
            <w:r>
              <w:rPr>
                <w:color w:val="000000"/>
                <w:shd w:val="clear" w:color="auto" w:fill="FFFFFF"/>
              </w:rPr>
              <w:t>nižja</w:t>
            </w:r>
            <w:r w:rsidR="0C2FFBCC" w:rsidRPr="14A58476">
              <w:rPr>
                <w:color w:val="000000" w:themeColor="text1"/>
              </w:rPr>
              <w:t xml:space="preserve"> (a </w:t>
            </w:r>
            <w:r>
              <w:rPr>
                <w:color w:val="000000"/>
                <w:shd w:val="clear" w:color="auto" w:fill="FFFFFF"/>
              </w:rPr>
              <w:t>še vedno zelo visoka</w:t>
            </w:r>
            <w:r w:rsidR="0C2FFBCC" w:rsidRPr="14A58476">
              <w:rPr>
                <w:color w:val="000000" w:themeColor="text1"/>
              </w:rPr>
              <w:t>)</w:t>
            </w:r>
            <w:r w:rsidR="4E0741DC">
              <w:rPr>
                <w:color w:val="000000"/>
                <w:shd w:val="clear" w:color="auto" w:fill="FFFFFF"/>
              </w:rPr>
              <w:t>,</w:t>
            </w:r>
            <w:r>
              <w:rPr>
                <w:color w:val="000000"/>
                <w:shd w:val="clear" w:color="auto" w:fill="FFFFFF"/>
              </w:rPr>
              <w:t xml:space="preserve"> </w:t>
            </w:r>
            <w:r w:rsidR="0C2FFBCC" w:rsidRPr="14A58476">
              <w:rPr>
                <w:color w:val="000000" w:themeColor="text1"/>
              </w:rPr>
              <w:t>saj</w:t>
            </w:r>
            <w:r>
              <w:rPr>
                <w:color w:val="000000"/>
                <w:shd w:val="clear" w:color="auto" w:fill="FFFFFF"/>
              </w:rPr>
              <w:t xml:space="preserve"> </w:t>
            </w:r>
            <w:r w:rsidR="00AF20F7">
              <w:rPr>
                <w:color w:val="000000"/>
                <w:shd w:val="clear" w:color="auto" w:fill="FFFFFF"/>
              </w:rPr>
              <w:t>so</w:t>
            </w:r>
            <w:r w:rsidR="008A69E9">
              <w:rPr>
                <w:color w:val="000000"/>
                <w:shd w:val="clear" w:color="auto" w:fill="FFFFFF"/>
              </w:rPr>
              <w:t xml:space="preserve"> se</w:t>
            </w:r>
            <w:r w:rsidR="00AF20F7">
              <w:rPr>
                <w:color w:val="000000"/>
                <w:shd w:val="clear" w:color="auto" w:fill="FFFFFF"/>
              </w:rPr>
              <w:t xml:space="preserve"> </w:t>
            </w:r>
            <w:r>
              <w:rPr>
                <w:color w:val="000000"/>
                <w:shd w:val="clear" w:color="auto" w:fill="FFFFFF"/>
              </w:rPr>
              <w:t xml:space="preserve">lani maja postopno </w:t>
            </w:r>
            <w:r w:rsidR="0C2FFBCC">
              <w:rPr>
                <w:color w:val="000000"/>
                <w:shd w:val="clear" w:color="auto" w:fill="FFFFFF"/>
              </w:rPr>
              <w:t>odpravlja</w:t>
            </w:r>
            <w:r w:rsidR="0C2FFBCC" w:rsidRPr="14A58476">
              <w:rPr>
                <w:color w:val="000000" w:themeColor="text1"/>
              </w:rPr>
              <w:t>le</w:t>
            </w:r>
            <w:r w:rsidR="0C2FFBCC">
              <w:rPr>
                <w:color w:val="000000"/>
                <w:shd w:val="clear" w:color="auto" w:fill="FFFFFF"/>
              </w:rPr>
              <w:t xml:space="preserve"> omejitv</w:t>
            </w:r>
            <w:r w:rsidR="0C2FFBCC" w:rsidRPr="14A58476">
              <w:rPr>
                <w:color w:val="000000" w:themeColor="text1"/>
              </w:rPr>
              <w:t>e</w:t>
            </w:r>
            <w:r>
              <w:rPr>
                <w:color w:val="000000"/>
                <w:shd w:val="clear" w:color="auto" w:fill="FFFFFF"/>
              </w:rPr>
              <w:t xml:space="preserve"> za poslovanje.</w:t>
            </w:r>
          </w:p>
          <w:p w14:paraId="2459FCBB" w14:textId="77777777" w:rsidR="00296BEC" w:rsidRPr="00DF4F0B" w:rsidRDefault="00296BEC" w:rsidP="001B4AED"/>
          <w:p w14:paraId="2459FCBC" w14:textId="77777777" w:rsidR="00296BEC" w:rsidRPr="00DF4F0B" w:rsidRDefault="00296BEC" w:rsidP="001B4AED"/>
        </w:tc>
      </w:tr>
    </w:tbl>
    <w:p w14:paraId="2459FCBE" w14:textId="77777777" w:rsidR="00296BEC" w:rsidRDefault="00296BEC" w:rsidP="00363E63">
      <w:pPr>
        <w:tabs>
          <w:tab w:val="left" w:pos="580"/>
        </w:tabs>
      </w:pPr>
    </w:p>
    <w:p w14:paraId="2459FCBF" w14:textId="77777777" w:rsidR="005B4C57" w:rsidRDefault="005B4C57" w:rsidP="00363E63">
      <w:pPr>
        <w:tabs>
          <w:tab w:val="left" w:pos="580"/>
        </w:tabs>
      </w:pPr>
    </w:p>
    <w:p w14:paraId="2459FCC0"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459FCC1" w14:textId="0E8A74B6" w:rsidR="002E69B6" w:rsidRPr="00887D7E" w:rsidRDefault="00063052" w:rsidP="00C26C8D">
      <w:pPr>
        <w:tabs>
          <w:tab w:val="left" w:pos="580"/>
        </w:tabs>
      </w:pPr>
      <w:r w:rsidRPr="00063052">
        <w:rPr>
          <w:noProof/>
        </w:rPr>
        <w:lastRenderedPageBreak/>
        <w:drawing>
          <wp:inline distT="0" distB="0" distL="0" distR="0" wp14:anchorId="7396A45F" wp14:editId="10B2618A">
            <wp:extent cx="5920740" cy="904202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951" cy="9048456"/>
                    </a:xfrm>
                    <a:prstGeom prst="rect">
                      <a:avLst/>
                    </a:prstGeom>
                    <a:noFill/>
                    <a:ln>
                      <a:noFill/>
                    </a:ln>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D7A05DD" w16cex:dateUtc="2022-05-20T11:06:00Z"/>
  <w16cex:commentExtensible w16cex:durableId="71BCA299" w16cex:dateUtc="2022-05-20T11:05:00Z"/>
  <w16cex:commentExtensible w16cex:durableId="1E398262" w16cex:dateUtc="2022-05-20T11:08:00Z"/>
  <w16cex:commentExtensible w16cex:durableId="53F9D7D1" w16cex:dateUtc="2022-05-20T11: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E7A05" w14:textId="77777777" w:rsidR="00603CB5" w:rsidRDefault="00603CB5" w:rsidP="0063497B">
      <w:pPr>
        <w:spacing w:line="240" w:lineRule="auto"/>
      </w:pPr>
      <w:r>
        <w:separator/>
      </w:r>
    </w:p>
  </w:endnote>
  <w:endnote w:type="continuationSeparator" w:id="0">
    <w:p w14:paraId="7CBEAA90" w14:textId="77777777" w:rsidR="00603CB5" w:rsidRDefault="00603CB5" w:rsidP="0063497B">
      <w:pPr>
        <w:spacing w:line="240" w:lineRule="auto"/>
      </w:pPr>
      <w:r>
        <w:continuationSeparator/>
      </w:r>
    </w:p>
  </w:endnote>
  <w:endnote w:type="continuationNotice" w:id="1">
    <w:p w14:paraId="21BE9038" w14:textId="77777777" w:rsidR="00603CB5" w:rsidRDefault="00603C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FCCA" w14:textId="77777777" w:rsidR="0029405F" w:rsidRPr="00363E63" w:rsidRDefault="00120162" w:rsidP="00363E63">
    <w:pPr>
      <w:tabs>
        <w:tab w:val="right" w:pos="9638"/>
      </w:tabs>
      <w:jc w:val="left"/>
      <w:rPr>
        <w:b/>
        <w:sz w:val="18"/>
        <w:szCs w:val="18"/>
      </w:rPr>
    </w:pPr>
    <w:r w:rsidRPr="00120162">
      <w:rPr>
        <w:sz w:val="18"/>
        <w:szCs w:val="18"/>
      </w:rPr>
      <w:t>Dodatne informacije:</w:t>
    </w:r>
    <w:r w:rsidRPr="00120162">
      <w:rPr>
        <w:b/>
        <w:sz w:val="18"/>
        <w:szCs w:val="18"/>
      </w:rPr>
      <w:t xml:space="preserve"> </w:t>
    </w:r>
    <w:r w:rsidRPr="00120162">
      <w:rPr>
        <w:sz w:val="18"/>
        <w:szCs w:val="18"/>
      </w:rPr>
      <w:t xml:space="preserve">telefon: 01 478 10 04, elektronski naslov: </w:t>
    </w:r>
    <w:hyperlink r:id="rId1" w:history="1">
      <w:r w:rsidRPr="00120162">
        <w:rPr>
          <w:rStyle w:val="Hyperlink"/>
          <w:bCs/>
          <w:color w:val="auto"/>
          <w:sz w:val="18"/>
          <w:szCs w:val="18"/>
          <w:u w:val="none"/>
        </w:rPr>
        <w:t>polona.osrajnik@gov.si</w:t>
      </w:r>
    </w:hyperlink>
    <w:r w:rsidR="00363E63" w:rsidRPr="00363E63">
      <w:rPr>
        <w:sz w:val="18"/>
        <w:szCs w:val="18"/>
      </w:rPr>
      <w:tab/>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FCCF" w14:textId="77777777" w:rsidR="0029405F" w:rsidRPr="00363E63" w:rsidRDefault="00120162" w:rsidP="00363E63">
    <w:pPr>
      <w:tabs>
        <w:tab w:val="right" w:pos="9638"/>
      </w:tabs>
      <w:jc w:val="left"/>
      <w:rPr>
        <w:b/>
        <w:sz w:val="18"/>
        <w:szCs w:val="18"/>
      </w:rPr>
    </w:pPr>
    <w:r w:rsidRPr="00120162">
      <w:rPr>
        <w:sz w:val="18"/>
        <w:szCs w:val="18"/>
      </w:rPr>
      <w:t>Dodatne informacije:</w:t>
    </w:r>
    <w:r w:rsidRPr="00120162">
      <w:rPr>
        <w:b/>
        <w:sz w:val="18"/>
        <w:szCs w:val="18"/>
      </w:rPr>
      <w:t xml:space="preserve"> </w:t>
    </w:r>
    <w:r w:rsidRPr="00120162">
      <w:rPr>
        <w:sz w:val="18"/>
        <w:szCs w:val="18"/>
      </w:rPr>
      <w:t xml:space="preserve">telefon: 01 478 10 04, elektronski naslov: </w:t>
    </w:r>
    <w:hyperlink r:id="rId1" w:history="1">
      <w:r w:rsidRPr="00120162">
        <w:rPr>
          <w:rStyle w:val="Hyperlink"/>
          <w:bCs/>
          <w:color w:val="auto"/>
          <w:sz w:val="18"/>
          <w:szCs w:val="18"/>
          <w:u w:val="none"/>
        </w:rPr>
        <w:t>polona.osrajnik@gov.si</w:t>
      </w:r>
    </w:hyperlink>
    <w:r w:rsidR="00363E63" w:rsidRPr="00363E63">
      <w:rPr>
        <w:sz w:val="18"/>
        <w:szCs w:val="18"/>
      </w:rPr>
      <w:tab/>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FCD1" w14:textId="77777777" w:rsidR="00C26C8D" w:rsidRPr="00C26C8D" w:rsidRDefault="00C26C8D" w:rsidP="00C26C8D">
    <w:pPr>
      <w:tabs>
        <w:tab w:val="right" w:pos="9638"/>
      </w:tabs>
      <w:jc w:val="left"/>
      <w:rPr>
        <w:b/>
        <w:sz w:val="18"/>
        <w:szCs w:val="18"/>
      </w:rPr>
    </w:pPr>
    <w:r w:rsidRPr="00C26C8D">
      <w:rPr>
        <w:sz w:val="18"/>
        <w:szCs w:val="18"/>
      </w:rPr>
      <w:t xml:space="preserve">Za bralnike zaslona dostopna oblika tabel se nahaja na spletni strani UMAR, med prilogami ob aktualnih grafih tedna </w:t>
    </w:r>
    <w:r>
      <w:rPr>
        <w:sz w:val="18"/>
        <w:szCs w:val="18"/>
      </w:rPr>
      <w:br/>
    </w:r>
    <w:r w:rsidRPr="00C26C8D">
      <w:rPr>
        <w:sz w:val="18"/>
        <w:szCs w:val="18"/>
      </w:rPr>
      <w:t>(Aktualni podatki v Sloveniji).</w:t>
    </w:r>
  </w:p>
  <w:p w14:paraId="2459FCD2" w14:textId="77777777" w:rsidR="00C26C8D" w:rsidRPr="00C26C8D" w:rsidRDefault="00C26C8D" w:rsidP="00C26C8D">
    <w:pPr>
      <w:tabs>
        <w:tab w:val="right" w:pos="9638"/>
      </w:tabs>
      <w:jc w:val="left"/>
      <w:rPr>
        <w:b/>
        <w:sz w:val="18"/>
        <w:szCs w:val="18"/>
      </w:rPr>
    </w:pPr>
  </w:p>
  <w:p w14:paraId="2459FCD3" w14:textId="77777777" w:rsidR="00363E63" w:rsidRPr="00363E63" w:rsidRDefault="00C26C8D" w:rsidP="00C26C8D">
    <w:pPr>
      <w:tabs>
        <w:tab w:val="right" w:pos="9638"/>
      </w:tabs>
      <w:jc w:val="left"/>
      <w:rPr>
        <w:b/>
        <w:sz w:val="18"/>
        <w:szCs w:val="18"/>
      </w:rPr>
    </w:pPr>
    <w:r w:rsidRPr="00C26C8D">
      <w:rPr>
        <w:sz w:val="18"/>
        <w:szCs w:val="18"/>
      </w:rPr>
      <w:t>Dodatne informacije: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7B68D" w14:textId="77777777" w:rsidR="00603CB5" w:rsidRDefault="00603CB5" w:rsidP="0063497B">
      <w:pPr>
        <w:spacing w:line="240" w:lineRule="auto"/>
      </w:pPr>
      <w:r>
        <w:separator/>
      </w:r>
    </w:p>
  </w:footnote>
  <w:footnote w:type="continuationSeparator" w:id="0">
    <w:p w14:paraId="4B838054" w14:textId="77777777" w:rsidR="00603CB5" w:rsidRDefault="00603CB5" w:rsidP="0063497B">
      <w:pPr>
        <w:spacing w:line="240" w:lineRule="auto"/>
      </w:pPr>
      <w:r>
        <w:continuationSeparator/>
      </w:r>
    </w:p>
  </w:footnote>
  <w:footnote w:type="continuationNotice" w:id="1">
    <w:p w14:paraId="1916ABFA" w14:textId="77777777" w:rsidR="00603CB5" w:rsidRDefault="00603CB5">
      <w:pPr>
        <w:spacing w:line="240" w:lineRule="auto"/>
      </w:pPr>
    </w:p>
  </w:footnote>
  <w:footnote w:id="2">
    <w:p w14:paraId="244FD117" w14:textId="77777777" w:rsidR="002C0227" w:rsidRDefault="002C0227" w:rsidP="002C0227">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FCCB" w14:textId="77777777" w:rsidR="0029405F" w:rsidRDefault="00652795" w:rsidP="00652795">
    <w:pPr>
      <w:jc w:val="right"/>
    </w:pPr>
    <w:r w:rsidRPr="0029405F">
      <w:rPr>
        <w:noProof/>
      </w:rPr>
      <w:drawing>
        <wp:anchor distT="0" distB="0" distL="114300" distR="114300" simplePos="0" relativeHeight="251658240" behindDoc="0" locked="0" layoutInCell="1" allowOverlap="1" wp14:anchorId="2459FCD4" wp14:editId="2459FCD5">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296BEC">
      <w:t>23</w:t>
    </w:r>
    <w:r>
      <w:t xml:space="preserve">. </w:t>
    </w:r>
    <w:r w:rsidR="005B4C57">
      <w:t>maj</w:t>
    </w:r>
    <w:r>
      <w:t xml:space="preserve"> 20</w:t>
    </w:r>
    <w:r w:rsidR="005B4C57">
      <w:t>22</w:t>
    </w:r>
  </w:p>
  <w:p w14:paraId="2459FCCC" w14:textId="77777777" w:rsidR="00652795" w:rsidRDefault="00652795" w:rsidP="00FE7254">
    <w:pPr>
      <w:jc w:val="right"/>
    </w:pPr>
  </w:p>
  <w:p w14:paraId="2459FCCD" w14:textId="77777777" w:rsidR="00FE7254" w:rsidRDefault="00FE7254" w:rsidP="00FE7254">
    <w:pPr>
      <w:jc w:val="right"/>
    </w:pPr>
  </w:p>
  <w:p w14:paraId="2459FCCE"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FCD0" w14:textId="77777777" w:rsidR="00363E63" w:rsidRPr="00C26C8D" w:rsidRDefault="00C26C8D"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63052"/>
    <w:rsid w:val="000675D8"/>
    <w:rsid w:val="000703C7"/>
    <w:rsid w:val="00070B6E"/>
    <w:rsid w:val="00077F13"/>
    <w:rsid w:val="000A03BE"/>
    <w:rsid w:val="000A0C8E"/>
    <w:rsid w:val="000A2CE8"/>
    <w:rsid w:val="000A5A42"/>
    <w:rsid w:val="000A7BDC"/>
    <w:rsid w:val="000B6683"/>
    <w:rsid w:val="00115E8D"/>
    <w:rsid w:val="00120162"/>
    <w:rsid w:val="00123D52"/>
    <w:rsid w:val="00133E20"/>
    <w:rsid w:val="001541D1"/>
    <w:rsid w:val="0019138D"/>
    <w:rsid w:val="001A0C98"/>
    <w:rsid w:val="001B6AE7"/>
    <w:rsid w:val="001D5FFF"/>
    <w:rsid w:val="001D6793"/>
    <w:rsid w:val="001E3956"/>
    <w:rsid w:val="001F51CD"/>
    <w:rsid w:val="00243593"/>
    <w:rsid w:val="0026509A"/>
    <w:rsid w:val="0028320D"/>
    <w:rsid w:val="0029405F"/>
    <w:rsid w:val="00296BEC"/>
    <w:rsid w:val="002B4319"/>
    <w:rsid w:val="002B4C3A"/>
    <w:rsid w:val="002B5361"/>
    <w:rsid w:val="002C0227"/>
    <w:rsid w:val="002D46EF"/>
    <w:rsid w:val="002E69B6"/>
    <w:rsid w:val="002E6FAD"/>
    <w:rsid w:val="00306767"/>
    <w:rsid w:val="00312D09"/>
    <w:rsid w:val="003508B3"/>
    <w:rsid w:val="00363E63"/>
    <w:rsid w:val="003A0E6A"/>
    <w:rsid w:val="003A49D8"/>
    <w:rsid w:val="003A6F93"/>
    <w:rsid w:val="003C1005"/>
    <w:rsid w:val="003C1E73"/>
    <w:rsid w:val="003C614E"/>
    <w:rsid w:val="003E0056"/>
    <w:rsid w:val="0040719E"/>
    <w:rsid w:val="00416EE7"/>
    <w:rsid w:val="00431EDD"/>
    <w:rsid w:val="004368FB"/>
    <w:rsid w:val="00450485"/>
    <w:rsid w:val="00452589"/>
    <w:rsid w:val="00452804"/>
    <w:rsid w:val="00464D01"/>
    <w:rsid w:val="00477274"/>
    <w:rsid w:val="0047730B"/>
    <w:rsid w:val="00493778"/>
    <w:rsid w:val="004970E5"/>
    <w:rsid w:val="004D63EF"/>
    <w:rsid w:val="004E5F4C"/>
    <w:rsid w:val="00502C53"/>
    <w:rsid w:val="00534457"/>
    <w:rsid w:val="00546DBF"/>
    <w:rsid w:val="00561C9A"/>
    <w:rsid w:val="005B4C57"/>
    <w:rsid w:val="005F0575"/>
    <w:rsid w:val="00603CB5"/>
    <w:rsid w:val="006269CE"/>
    <w:rsid w:val="0063497B"/>
    <w:rsid w:val="00650921"/>
    <w:rsid w:val="00652795"/>
    <w:rsid w:val="00653C34"/>
    <w:rsid w:val="00671853"/>
    <w:rsid w:val="006875F1"/>
    <w:rsid w:val="006965FC"/>
    <w:rsid w:val="006A6820"/>
    <w:rsid w:val="006C2117"/>
    <w:rsid w:val="006D74A2"/>
    <w:rsid w:val="006E1C81"/>
    <w:rsid w:val="007016EF"/>
    <w:rsid w:val="00714319"/>
    <w:rsid w:val="00731B6F"/>
    <w:rsid w:val="0074452D"/>
    <w:rsid w:val="0074466E"/>
    <w:rsid w:val="00752DF3"/>
    <w:rsid w:val="00753E35"/>
    <w:rsid w:val="007772B3"/>
    <w:rsid w:val="00777469"/>
    <w:rsid w:val="0079410F"/>
    <w:rsid w:val="007A0B59"/>
    <w:rsid w:val="007A4FAA"/>
    <w:rsid w:val="007B66D5"/>
    <w:rsid w:val="007B7110"/>
    <w:rsid w:val="007C0384"/>
    <w:rsid w:val="007D0791"/>
    <w:rsid w:val="007E0130"/>
    <w:rsid w:val="007F1307"/>
    <w:rsid w:val="00812D81"/>
    <w:rsid w:val="00860582"/>
    <w:rsid w:val="00866962"/>
    <w:rsid w:val="008748FC"/>
    <w:rsid w:val="00884D6C"/>
    <w:rsid w:val="00887D7E"/>
    <w:rsid w:val="00891156"/>
    <w:rsid w:val="0089259B"/>
    <w:rsid w:val="008A54D6"/>
    <w:rsid w:val="008A69E9"/>
    <w:rsid w:val="008E64F4"/>
    <w:rsid w:val="00910265"/>
    <w:rsid w:val="0093385A"/>
    <w:rsid w:val="0093604B"/>
    <w:rsid w:val="00946C4C"/>
    <w:rsid w:val="009918B9"/>
    <w:rsid w:val="009A1E12"/>
    <w:rsid w:val="009A3D19"/>
    <w:rsid w:val="009D311B"/>
    <w:rsid w:val="009D5868"/>
    <w:rsid w:val="009E17E3"/>
    <w:rsid w:val="00A072AA"/>
    <w:rsid w:val="00A107AD"/>
    <w:rsid w:val="00A35FCE"/>
    <w:rsid w:val="00A42839"/>
    <w:rsid w:val="00A447B8"/>
    <w:rsid w:val="00A7050D"/>
    <w:rsid w:val="00A8329F"/>
    <w:rsid w:val="00AA1F25"/>
    <w:rsid w:val="00AB0C65"/>
    <w:rsid w:val="00AC2AC5"/>
    <w:rsid w:val="00AC328B"/>
    <w:rsid w:val="00AF20F7"/>
    <w:rsid w:val="00AF3058"/>
    <w:rsid w:val="00B00E5E"/>
    <w:rsid w:val="00B05C61"/>
    <w:rsid w:val="00B0702A"/>
    <w:rsid w:val="00B07C5D"/>
    <w:rsid w:val="00B220A3"/>
    <w:rsid w:val="00B24C9D"/>
    <w:rsid w:val="00B451B6"/>
    <w:rsid w:val="00B50E81"/>
    <w:rsid w:val="00B52F7E"/>
    <w:rsid w:val="00B738F6"/>
    <w:rsid w:val="00B8300F"/>
    <w:rsid w:val="00B955C5"/>
    <w:rsid w:val="00BB6DF6"/>
    <w:rsid w:val="00BE737E"/>
    <w:rsid w:val="00BF2574"/>
    <w:rsid w:val="00C021E1"/>
    <w:rsid w:val="00C03634"/>
    <w:rsid w:val="00C26C8D"/>
    <w:rsid w:val="00C33B81"/>
    <w:rsid w:val="00C4046B"/>
    <w:rsid w:val="00C544EF"/>
    <w:rsid w:val="00C80811"/>
    <w:rsid w:val="00CF6407"/>
    <w:rsid w:val="00D312B6"/>
    <w:rsid w:val="00D74440"/>
    <w:rsid w:val="00D8528C"/>
    <w:rsid w:val="00DB1C32"/>
    <w:rsid w:val="00DB1E02"/>
    <w:rsid w:val="00DE2EA9"/>
    <w:rsid w:val="00DE4ACB"/>
    <w:rsid w:val="00DE72F6"/>
    <w:rsid w:val="00DF083F"/>
    <w:rsid w:val="00DF10A8"/>
    <w:rsid w:val="00DF3707"/>
    <w:rsid w:val="00DF4F0B"/>
    <w:rsid w:val="00E02749"/>
    <w:rsid w:val="00E70CE3"/>
    <w:rsid w:val="00E7791D"/>
    <w:rsid w:val="00EB4535"/>
    <w:rsid w:val="00ECEEB6"/>
    <w:rsid w:val="00EE7E6E"/>
    <w:rsid w:val="00F04B10"/>
    <w:rsid w:val="00F409C1"/>
    <w:rsid w:val="00F41E1A"/>
    <w:rsid w:val="00F43F6C"/>
    <w:rsid w:val="00F47B15"/>
    <w:rsid w:val="00F52574"/>
    <w:rsid w:val="00F545EF"/>
    <w:rsid w:val="00F65156"/>
    <w:rsid w:val="00F66E1B"/>
    <w:rsid w:val="00F76DCE"/>
    <w:rsid w:val="00F930F6"/>
    <w:rsid w:val="00F9412F"/>
    <w:rsid w:val="00FA45E3"/>
    <w:rsid w:val="00FB5533"/>
    <w:rsid w:val="00FE12B1"/>
    <w:rsid w:val="00FE4BAB"/>
    <w:rsid w:val="00FE7254"/>
    <w:rsid w:val="0113F7EB"/>
    <w:rsid w:val="04248F78"/>
    <w:rsid w:val="075C303A"/>
    <w:rsid w:val="0C2FFBCC"/>
    <w:rsid w:val="0EA275E7"/>
    <w:rsid w:val="10E9EA23"/>
    <w:rsid w:val="127A30AD"/>
    <w:rsid w:val="1448941A"/>
    <w:rsid w:val="14A58476"/>
    <w:rsid w:val="18A98714"/>
    <w:rsid w:val="307611CF"/>
    <w:rsid w:val="3238EB65"/>
    <w:rsid w:val="3A413AC3"/>
    <w:rsid w:val="3BC6A54E"/>
    <w:rsid w:val="43D1B733"/>
    <w:rsid w:val="456D8794"/>
    <w:rsid w:val="473F827A"/>
    <w:rsid w:val="4DDA7AE9"/>
    <w:rsid w:val="4E0741DC"/>
    <w:rsid w:val="54D8DB69"/>
    <w:rsid w:val="56B873C9"/>
    <w:rsid w:val="57FA1655"/>
    <w:rsid w:val="59CBCDDD"/>
    <w:rsid w:val="6446F1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459FC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Dodatneinformacije">
    <w:name w:val="Dodatne informacije"/>
    <w:basedOn w:val="Normal"/>
    <w:link w:val="DodatneinformacijeChar"/>
    <w:qFormat/>
    <w:rsid w:val="00F41E1A"/>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ormal"/>
    <w:link w:val="UvodChar"/>
    <w:qFormat/>
    <w:rsid w:val="00E02749"/>
    <w:pPr>
      <w:spacing w:after="160"/>
    </w:pPr>
  </w:style>
  <w:style w:type="character" w:customStyle="1" w:styleId="UvodChar">
    <w:name w:val="Uvod Char"/>
    <w:basedOn w:val="DefaultParagraphFont"/>
    <w:link w:val="Uvod"/>
    <w:rsid w:val="00E02749"/>
    <w:rPr>
      <w:rFonts w:ascii="Myriad Pro" w:hAnsi="Myriad Pro"/>
      <w:b w:val="0"/>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3508B3"/>
    <w:rPr>
      <w:b/>
    </w:rPr>
  </w:style>
  <w:style w:type="paragraph" w:styleId="CommentText">
    <w:name w:val="annotation text"/>
    <w:basedOn w:val="Normal"/>
    <w:link w:val="CommentTextChar"/>
    <w:uiPriority w:val="99"/>
    <w:semiHidden/>
    <w:unhideWhenUsed/>
    <w:rsid w:val="003508B3"/>
    <w:pPr>
      <w:spacing w:line="240" w:lineRule="auto"/>
    </w:pPr>
    <w:rPr>
      <w:szCs w:val="20"/>
    </w:rPr>
  </w:style>
  <w:style w:type="character" w:customStyle="1" w:styleId="CommentTextChar">
    <w:name w:val="Comment Text Char"/>
    <w:basedOn w:val="DefaultParagraphFont"/>
    <w:link w:val="CommentText"/>
    <w:uiPriority w:val="99"/>
    <w:semiHidden/>
    <w:rsid w:val="003508B3"/>
    <w:rPr>
      <w:rFonts w:ascii="Myriad Pro" w:hAnsi="Myriad Pro"/>
      <w:sz w:val="20"/>
      <w:szCs w:val="20"/>
    </w:rPr>
  </w:style>
  <w:style w:type="character" w:styleId="CommentReference">
    <w:name w:val="annotation reference"/>
    <w:basedOn w:val="DefaultParagraphFont"/>
    <w:uiPriority w:val="99"/>
    <w:semiHidden/>
    <w:unhideWhenUsed/>
    <w:rsid w:val="003508B3"/>
    <w:rPr>
      <w:sz w:val="16"/>
      <w:szCs w:val="16"/>
    </w:rPr>
  </w:style>
  <w:style w:type="paragraph" w:styleId="Revision">
    <w:name w:val="Revision"/>
    <w:hidden/>
    <w:uiPriority w:val="99"/>
    <w:semiHidden/>
    <w:rsid w:val="009D5868"/>
    <w:pPr>
      <w:spacing w:after="0" w:line="240" w:lineRule="auto"/>
    </w:pPr>
    <w:rPr>
      <w:rFonts w:ascii="Myriad Pro" w:hAnsi="Myriad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4B9FD-BC18-4619-A2D0-79C8A7370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2022-05-23T07:15:00Z</dcterms:created>
  <dcterms:modified xsi:type="dcterms:W3CDTF">2022-05-23T07:15:00Z</dcterms:modified>
</cp:coreProperties>
</file>