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6694E" w:rsidRPr="0026694E" w:rsidRDefault="0026694E" w:rsidP="0026694E">
      <w:pPr>
        <w:pStyle w:val="Naslov1"/>
      </w:pPr>
      <w:bookmarkStart w:id="0" w:name="_GoBack"/>
      <w:bookmarkEnd w:id="0"/>
      <w:r w:rsidRPr="00763932">
        <w:t>CURRENT ECONOMIC TRENDS</w:t>
      </w:r>
    </w:p>
    <w:p w:rsidR="0026694E" w:rsidRPr="00B913B5" w:rsidRDefault="0022678C" w:rsidP="0026694E">
      <w:pPr>
        <w:rPr>
          <w:sz w:val="32"/>
          <w:szCs w:val="36"/>
        </w:rPr>
      </w:pPr>
      <w:r>
        <w:rPr>
          <w:sz w:val="32"/>
          <w:szCs w:val="36"/>
        </w:rPr>
        <w:t>24</w:t>
      </w:r>
      <w:r w:rsidR="00811CD1">
        <w:rPr>
          <w:sz w:val="32"/>
          <w:szCs w:val="36"/>
        </w:rPr>
        <w:t xml:space="preserve"> - </w:t>
      </w:r>
      <w:r>
        <w:rPr>
          <w:sz w:val="32"/>
          <w:szCs w:val="36"/>
        </w:rPr>
        <w:t xml:space="preserve">28 </w:t>
      </w:r>
      <w:proofErr w:type="spellStart"/>
      <w:r>
        <w:rPr>
          <w:sz w:val="32"/>
          <w:szCs w:val="36"/>
        </w:rPr>
        <w:t>January</w:t>
      </w:r>
      <w:proofErr w:type="spellEnd"/>
      <w:r w:rsidR="0026694E" w:rsidRPr="00B913B5">
        <w:rPr>
          <w:sz w:val="32"/>
          <w:szCs w:val="36"/>
        </w:rPr>
        <w:t xml:space="preserve"> 20</w:t>
      </w:r>
      <w:r>
        <w:rPr>
          <w:sz w:val="32"/>
          <w:szCs w:val="36"/>
        </w:rPr>
        <w:t>22</w:t>
      </w:r>
    </w:p>
    <w:p w:rsidR="00DF4F0B" w:rsidRDefault="00DF4F0B"/>
    <w:p w:rsidR="00792AC2" w:rsidRPr="00792AC2" w:rsidRDefault="00792AC2" w:rsidP="00792AC2">
      <w:pPr>
        <w:tabs>
          <w:tab w:val="left" w:pos="580"/>
        </w:tabs>
        <w:rPr>
          <w:lang w:val="en-GB"/>
        </w:rPr>
      </w:pPr>
      <w:r w:rsidRPr="00792AC2">
        <w:rPr>
          <w:lang w:val="en-GB"/>
        </w:rPr>
        <w:t>Economic sentiment improved slightly again in January despite the negative impact of supply chain disruptions and uncertainty surrounding the development of the epidemic. Year-on-year growth in average gross wages in the private sector remains high, which we estimate could also be due to labour shortages in some activities (manufacturing, construction and accommodation and food service activities). Due to the cessation of epidemic-related bonus payments, year-on-year public sector wage growth slowed significantly in the second half of the last year and was already negative in November. Turnover based on fiscal verification of invoices was 19% higher year-on-year in the first half of January and was slightly higher than the same period in 2019. Turnover in trade continued to increase last November. After a decline in October, turnover in market services increased again, with only travel and employment agencies falling below pre-epidemic levels.</w:t>
      </w:r>
    </w:p>
    <w:p w:rsidR="00811CD1" w:rsidRDefault="00811CD1" w:rsidP="006D04BC">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6D04BC" w:rsidTr="00C90DAA">
        <w:trPr>
          <w:trHeight w:val="207"/>
        </w:trPr>
        <w:tc>
          <w:tcPr>
            <w:tcW w:w="4819" w:type="dxa"/>
            <w:tcBorders>
              <w:bottom w:val="single" w:sz="4" w:space="0" w:color="auto"/>
            </w:tcBorders>
            <w:tcMar>
              <w:left w:w="0" w:type="dxa"/>
            </w:tcMar>
          </w:tcPr>
          <w:p w:rsidR="006D04BC" w:rsidRPr="007A0B59" w:rsidRDefault="00792AC2" w:rsidP="001A2CB5">
            <w:pPr>
              <w:pStyle w:val="Naslov3"/>
              <w:jc w:val="left"/>
            </w:pPr>
            <w:r w:rsidRPr="00792AC2">
              <w:rPr>
                <w:lang w:val="en-GB"/>
              </w:rPr>
              <w:t>Economic sentiment, January 2022</w:t>
            </w:r>
          </w:p>
        </w:tc>
        <w:tc>
          <w:tcPr>
            <w:tcW w:w="4820" w:type="dxa"/>
            <w:gridSpan w:val="2"/>
            <w:tcBorders>
              <w:bottom w:val="single" w:sz="4" w:space="0" w:color="auto"/>
            </w:tcBorders>
          </w:tcPr>
          <w:p w:rsidR="006D04BC" w:rsidRPr="007A0B59" w:rsidRDefault="006D04BC" w:rsidP="00C90DAA">
            <w:pPr>
              <w:pStyle w:val="Naslov3"/>
            </w:pPr>
          </w:p>
        </w:tc>
      </w:tr>
      <w:tr w:rsidR="006D04BC" w:rsidTr="00C90DAA">
        <w:trPr>
          <w:trHeight w:val="1134"/>
        </w:trPr>
        <w:tc>
          <w:tcPr>
            <w:tcW w:w="4982" w:type="dxa"/>
            <w:gridSpan w:val="2"/>
            <w:tcBorders>
              <w:top w:val="single" w:sz="4" w:space="0" w:color="auto"/>
            </w:tcBorders>
            <w:tcMar>
              <w:left w:w="0" w:type="dxa"/>
            </w:tcMar>
          </w:tcPr>
          <w:p w:rsidR="006D04BC" w:rsidRDefault="0022678C" w:rsidP="00C90DAA">
            <w:pPr>
              <w:pStyle w:val="ListParagraph"/>
              <w:ind w:left="0"/>
            </w:pPr>
            <w:r>
              <w:rPr>
                <w:noProof/>
              </w:rPr>
              <w:drawing>
                <wp:inline distT="0" distB="0" distL="0" distR="0" wp14:anchorId="6161EF13">
                  <wp:extent cx="3135600" cy="239040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5600" cy="2390400"/>
                          </a:xfrm>
                          <a:prstGeom prst="rect">
                            <a:avLst/>
                          </a:prstGeom>
                          <a:noFill/>
                        </pic:spPr>
                      </pic:pic>
                    </a:graphicData>
                  </a:graphic>
                </wp:inline>
              </w:drawing>
            </w:r>
          </w:p>
        </w:tc>
        <w:tc>
          <w:tcPr>
            <w:tcW w:w="4657" w:type="dxa"/>
            <w:tcBorders>
              <w:top w:val="single" w:sz="4" w:space="0" w:color="auto"/>
            </w:tcBorders>
            <w:tcMar>
              <w:left w:w="284" w:type="dxa"/>
            </w:tcMar>
          </w:tcPr>
          <w:p w:rsidR="00792AC2" w:rsidRPr="00792AC2" w:rsidRDefault="00792AC2" w:rsidP="00792AC2">
            <w:pPr>
              <w:rPr>
                <w:lang w:val="en-GB"/>
              </w:rPr>
            </w:pPr>
            <w:r w:rsidRPr="00792AC2">
              <w:rPr>
                <w:b/>
                <w:lang w:val="en-GB"/>
              </w:rPr>
              <w:t xml:space="preserve">The economic sentiment indicator rose in January for the third month in a row and remains well above the long-term average. </w:t>
            </w:r>
            <w:r w:rsidRPr="00792AC2">
              <w:rPr>
                <w:lang w:val="en-GB"/>
              </w:rPr>
              <w:t>On a monthly basis, confidence rose in most activities, while in manufacturing and among consumers it remained at the same level as last December. Confidence was significantly higher in January than in the same period last year, when stringent measures to contain the spread of the epidemic were still in place (confidence was particularly low in retail trade and among consumers). Confidence in manufacturing and construction was also higher than in the same period in 2019. Confidence was also well above the long-term average in construction (up 39 p.p.) and in manufacturing (up 10 p.p.). Despite the improvement in economic sentiment, there are still some limiting factors present. The deterioration in manufacturing is the result of the current situation in the international environment (supply bottlenecks, rising non-energy commodity and energy prices), while the deterioration in the retail trade and among consumers is related to uncertainty about the epidemic situation and the measures taken.</w:t>
            </w:r>
          </w:p>
          <w:p w:rsidR="006D04BC" w:rsidRPr="00792AC2" w:rsidRDefault="006D04BC" w:rsidP="00C90DAA">
            <w:pPr>
              <w:rPr>
                <w:lang w:val="en-GB"/>
              </w:rPr>
            </w:pPr>
          </w:p>
        </w:tc>
      </w:tr>
    </w:tbl>
    <w:p w:rsidR="006D04BC" w:rsidRDefault="006D04BC" w:rsidP="006D04BC">
      <w:pPr>
        <w:tabs>
          <w:tab w:val="left" w:pos="580"/>
        </w:tabs>
      </w:pPr>
    </w:p>
    <w:p w:rsidR="0022678C" w:rsidRDefault="0022678C" w:rsidP="006D04BC">
      <w:pPr>
        <w:tabs>
          <w:tab w:val="left" w:pos="580"/>
        </w:tabs>
      </w:pPr>
    </w:p>
    <w:p w:rsidR="0022678C" w:rsidRDefault="0022678C" w:rsidP="006D04BC">
      <w:pPr>
        <w:tabs>
          <w:tab w:val="left" w:pos="580"/>
        </w:tabs>
      </w:pPr>
    </w:p>
    <w:p w:rsidR="00792AC2" w:rsidRDefault="00792AC2" w:rsidP="006D04BC">
      <w:pPr>
        <w:tabs>
          <w:tab w:val="left" w:pos="580"/>
        </w:tabs>
      </w:pPr>
    </w:p>
    <w:p w:rsidR="00792AC2" w:rsidRDefault="00792AC2" w:rsidP="006D04BC">
      <w:pPr>
        <w:tabs>
          <w:tab w:val="left" w:pos="580"/>
        </w:tabs>
      </w:pPr>
    </w:p>
    <w:p w:rsidR="00792AC2" w:rsidRDefault="00792AC2" w:rsidP="006D04BC">
      <w:pPr>
        <w:tabs>
          <w:tab w:val="left" w:pos="580"/>
        </w:tabs>
      </w:pPr>
    </w:p>
    <w:p w:rsidR="00792AC2" w:rsidRDefault="00792AC2" w:rsidP="006D04BC">
      <w:pPr>
        <w:tabs>
          <w:tab w:val="left" w:pos="580"/>
        </w:tabs>
      </w:pPr>
    </w:p>
    <w:p w:rsidR="00792AC2" w:rsidRDefault="00792AC2" w:rsidP="006D04BC">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6D04BC" w:rsidTr="00C90DAA">
        <w:trPr>
          <w:trHeight w:val="207"/>
        </w:trPr>
        <w:tc>
          <w:tcPr>
            <w:tcW w:w="4819" w:type="dxa"/>
            <w:tcBorders>
              <w:bottom w:val="single" w:sz="4" w:space="0" w:color="auto"/>
            </w:tcBorders>
            <w:tcMar>
              <w:left w:w="0" w:type="dxa"/>
            </w:tcMar>
          </w:tcPr>
          <w:p w:rsidR="006D04BC" w:rsidRPr="007A0B59" w:rsidRDefault="00792AC2" w:rsidP="001A2CB5">
            <w:pPr>
              <w:pStyle w:val="Naslov3"/>
              <w:jc w:val="left"/>
            </w:pPr>
            <w:r w:rsidRPr="00792AC2">
              <w:rPr>
                <w:lang w:val="en-GB"/>
              </w:rPr>
              <w:lastRenderedPageBreak/>
              <w:t>Wages, November 2021</w:t>
            </w:r>
          </w:p>
        </w:tc>
        <w:tc>
          <w:tcPr>
            <w:tcW w:w="4820" w:type="dxa"/>
            <w:gridSpan w:val="2"/>
            <w:tcBorders>
              <w:bottom w:val="single" w:sz="4" w:space="0" w:color="auto"/>
            </w:tcBorders>
          </w:tcPr>
          <w:p w:rsidR="006D04BC" w:rsidRPr="007A0B59" w:rsidRDefault="006D04BC" w:rsidP="00C90DAA">
            <w:pPr>
              <w:pStyle w:val="Naslov3"/>
            </w:pPr>
          </w:p>
        </w:tc>
      </w:tr>
      <w:tr w:rsidR="006D04BC" w:rsidTr="00C90DAA">
        <w:trPr>
          <w:trHeight w:val="1134"/>
        </w:trPr>
        <w:tc>
          <w:tcPr>
            <w:tcW w:w="4982" w:type="dxa"/>
            <w:gridSpan w:val="2"/>
            <w:tcBorders>
              <w:top w:val="single" w:sz="4" w:space="0" w:color="auto"/>
            </w:tcBorders>
            <w:tcMar>
              <w:left w:w="0" w:type="dxa"/>
            </w:tcMar>
          </w:tcPr>
          <w:p w:rsidR="006D04BC" w:rsidRDefault="0022678C" w:rsidP="00C90DAA">
            <w:pPr>
              <w:pStyle w:val="ListParagraph"/>
              <w:ind w:left="0"/>
            </w:pPr>
            <w:r>
              <w:rPr>
                <w:noProof/>
              </w:rPr>
              <w:drawing>
                <wp:inline distT="0" distB="0" distL="0" distR="0" wp14:anchorId="26F184B6">
                  <wp:extent cx="3182400" cy="241560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2400" cy="2415600"/>
                          </a:xfrm>
                          <a:prstGeom prst="rect">
                            <a:avLst/>
                          </a:prstGeom>
                          <a:noFill/>
                        </pic:spPr>
                      </pic:pic>
                    </a:graphicData>
                  </a:graphic>
                </wp:inline>
              </w:drawing>
            </w:r>
          </w:p>
        </w:tc>
        <w:tc>
          <w:tcPr>
            <w:tcW w:w="4657" w:type="dxa"/>
            <w:tcBorders>
              <w:top w:val="single" w:sz="4" w:space="0" w:color="auto"/>
            </w:tcBorders>
            <w:tcMar>
              <w:left w:w="284" w:type="dxa"/>
            </w:tcMar>
          </w:tcPr>
          <w:p w:rsidR="00792AC2" w:rsidRPr="00792AC2" w:rsidRDefault="00792AC2" w:rsidP="00792AC2">
            <w:pPr>
              <w:rPr>
                <w:bCs/>
                <w:lang w:val="en-GB"/>
              </w:rPr>
            </w:pPr>
            <w:r w:rsidRPr="00792AC2">
              <w:rPr>
                <w:b/>
                <w:lang w:val="en-GB"/>
              </w:rPr>
              <w:t xml:space="preserve">In November 2021, average wages in the public sector were 4.1% lower year-on-year, while they were 7.2% higher in the private sector. </w:t>
            </w:r>
            <w:r w:rsidRPr="00792AC2">
              <w:rPr>
                <w:lang w:val="en-GB"/>
              </w:rPr>
              <w:t>Due to the cessation of epidemic-related bonus payments, year-on-year wage growth in the public sector slowed significantly in the second half of last year and already turned negative last November.</w:t>
            </w:r>
            <w:r w:rsidRPr="00792AC2">
              <w:rPr>
                <w:bCs/>
                <w:vertAlign w:val="superscript"/>
                <w:lang w:val="en-GB"/>
              </w:rPr>
              <w:footnoteReference w:id="1"/>
            </w:r>
            <w:r w:rsidRPr="00792AC2">
              <w:rPr>
                <w:lang w:val="en-GB"/>
              </w:rPr>
              <w:t xml:space="preserve"> In the first eleven months of 2021, these wages were 7.8% higher than in the same period of 2020. In the private sector, average wages increased by 5.9% year-on-year in the first eleven months, mainly due to the impact of the minimum wage increase at the beginning of the year, but also to the return to employment of workers who had participated in job retention measures. According to our estimates, wage growth in some private sector activities (manufacturing, construction and accommodation and food service activities) could also be the result of labour shortages. The year-on-year increase in private sector wage growth last November was also influenced by extraordinary payments (13th salary and Christmas bonus), which were higher than in the same periods of 2020 and 2019, given the good performance of companies. </w:t>
            </w:r>
          </w:p>
          <w:p w:rsidR="006D04BC" w:rsidRPr="00792AC2" w:rsidRDefault="006D04BC" w:rsidP="00C90DAA">
            <w:pPr>
              <w:rPr>
                <w:lang w:val="en-GB"/>
              </w:rPr>
            </w:pPr>
          </w:p>
        </w:tc>
      </w:tr>
    </w:tbl>
    <w:p w:rsidR="006D04BC" w:rsidRDefault="006D04BC" w:rsidP="006D04BC">
      <w:pPr>
        <w:tabs>
          <w:tab w:val="left" w:pos="580"/>
        </w:tabs>
      </w:pPr>
    </w:p>
    <w:p w:rsidR="0022678C" w:rsidRDefault="0022678C" w:rsidP="006D04BC">
      <w:pPr>
        <w:tabs>
          <w:tab w:val="left" w:pos="580"/>
        </w:tabs>
      </w:pPr>
    </w:p>
    <w:p w:rsidR="0022678C" w:rsidRDefault="0022678C" w:rsidP="006D04BC">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6D04BC" w:rsidTr="00C90DAA">
        <w:trPr>
          <w:trHeight w:val="207"/>
        </w:trPr>
        <w:tc>
          <w:tcPr>
            <w:tcW w:w="4819" w:type="dxa"/>
            <w:tcBorders>
              <w:bottom w:val="single" w:sz="4" w:space="0" w:color="auto"/>
            </w:tcBorders>
            <w:tcMar>
              <w:left w:w="0" w:type="dxa"/>
            </w:tcMar>
          </w:tcPr>
          <w:p w:rsidR="006D04BC" w:rsidRPr="006C2117" w:rsidRDefault="00792AC2" w:rsidP="001A2CB5">
            <w:pPr>
              <w:pStyle w:val="Naslov3"/>
              <w:jc w:val="left"/>
            </w:pPr>
            <w:r w:rsidRPr="00792AC2">
              <w:rPr>
                <w:lang w:val="en-GB"/>
              </w:rPr>
              <w:t xml:space="preserve">Turnover in trade, November–December 2021  </w:t>
            </w:r>
          </w:p>
        </w:tc>
        <w:tc>
          <w:tcPr>
            <w:tcW w:w="4820" w:type="dxa"/>
            <w:gridSpan w:val="2"/>
            <w:tcBorders>
              <w:bottom w:val="single" w:sz="4" w:space="0" w:color="auto"/>
            </w:tcBorders>
          </w:tcPr>
          <w:p w:rsidR="006D04BC" w:rsidRPr="006C2117" w:rsidRDefault="006D04BC" w:rsidP="00C90DAA">
            <w:pPr>
              <w:pStyle w:val="Naslov3"/>
            </w:pPr>
          </w:p>
        </w:tc>
      </w:tr>
      <w:tr w:rsidR="006D04BC" w:rsidTr="00C90DAA">
        <w:trPr>
          <w:trHeight w:val="1134"/>
        </w:trPr>
        <w:tc>
          <w:tcPr>
            <w:tcW w:w="4982" w:type="dxa"/>
            <w:gridSpan w:val="2"/>
            <w:tcBorders>
              <w:top w:val="single" w:sz="4" w:space="0" w:color="auto"/>
            </w:tcBorders>
            <w:tcMar>
              <w:left w:w="0" w:type="dxa"/>
            </w:tcMar>
          </w:tcPr>
          <w:p w:rsidR="006D04BC" w:rsidRDefault="003D785E" w:rsidP="00C90DAA">
            <w:pPr>
              <w:pStyle w:val="ListParagraph"/>
              <w:ind w:left="0"/>
            </w:pPr>
            <w:r>
              <w:rPr>
                <w:noProof/>
              </w:rPr>
              <w:drawing>
                <wp:inline distT="0" distB="0" distL="0" distR="0" wp14:anchorId="3CA3E182">
                  <wp:extent cx="3171600" cy="2700000"/>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71600" cy="2700000"/>
                          </a:xfrm>
                          <a:prstGeom prst="rect">
                            <a:avLst/>
                          </a:prstGeom>
                          <a:noFill/>
                        </pic:spPr>
                      </pic:pic>
                    </a:graphicData>
                  </a:graphic>
                </wp:inline>
              </w:drawing>
            </w:r>
          </w:p>
        </w:tc>
        <w:tc>
          <w:tcPr>
            <w:tcW w:w="4657" w:type="dxa"/>
            <w:tcBorders>
              <w:top w:val="single" w:sz="4" w:space="0" w:color="auto"/>
            </w:tcBorders>
            <w:tcMar>
              <w:left w:w="284" w:type="dxa"/>
            </w:tcMar>
          </w:tcPr>
          <w:p w:rsidR="00792AC2" w:rsidRPr="00792AC2" w:rsidRDefault="00792AC2" w:rsidP="00792AC2">
            <w:pPr>
              <w:rPr>
                <w:lang w:val="en-GB"/>
              </w:rPr>
            </w:pPr>
            <w:r w:rsidRPr="00792AC2">
              <w:rPr>
                <w:b/>
                <w:lang w:val="en-GB"/>
              </w:rPr>
              <w:t>Turnover in trade increased further last November.</w:t>
            </w:r>
            <w:r w:rsidRPr="00792AC2">
              <w:rPr>
                <w:lang w:val="en-GB"/>
              </w:rPr>
              <w:t xml:space="preserve"> The monthly growth was mainly due to growth in </w:t>
            </w:r>
            <w:r w:rsidRPr="00792AC2">
              <w:rPr>
                <w:i/>
                <w:iCs/>
                <w:lang w:val="en-GB"/>
              </w:rPr>
              <w:t>wholesale trade</w:t>
            </w:r>
            <w:r w:rsidRPr="00792AC2">
              <w:rPr>
                <w:lang w:val="en-GB"/>
              </w:rPr>
              <w:t xml:space="preserve">. Turnover in the </w:t>
            </w:r>
            <w:r w:rsidRPr="00792AC2">
              <w:rPr>
                <w:i/>
                <w:iCs/>
                <w:lang w:val="en-GB"/>
              </w:rPr>
              <w:t>sale of motor vehicles</w:t>
            </w:r>
            <w:r w:rsidRPr="00792AC2">
              <w:rPr>
                <w:lang w:val="en-GB"/>
              </w:rPr>
              <w:t xml:space="preserve"> remained at the (low) level reached and, due to delays in the delivery of vehicles, this was the only main segment that fell short of 2019 turnover. Turnover in </w:t>
            </w:r>
            <w:r w:rsidRPr="00792AC2">
              <w:rPr>
                <w:i/>
                <w:iCs/>
                <w:lang w:val="en-GB"/>
              </w:rPr>
              <w:t>retail sales</w:t>
            </w:r>
            <w:r w:rsidRPr="00792AC2">
              <w:rPr>
                <w:lang w:val="en-GB"/>
              </w:rPr>
              <w:t xml:space="preserve"> also remained at the level reached, with further growth in turnover in the sale of non-food products and a decline in the sale of automotive fuels after high growth in the previous month. Turnover in the sales of food, beverages and tobacco was also lower, declining further last December, according to preliminary data. After stagnating in 2020, turnover in the latter increased by 7.9% year-on-year in 2021 and by 18.8% in the retail sector as a whole, with even higher growth in the sale of automotive fuels and non-food products.</w:t>
            </w:r>
          </w:p>
          <w:p w:rsidR="006D04BC" w:rsidRPr="00792AC2" w:rsidRDefault="006D04BC" w:rsidP="00C90DAA">
            <w:pPr>
              <w:rPr>
                <w:lang w:val="en-GB"/>
              </w:rPr>
            </w:pPr>
          </w:p>
        </w:tc>
      </w:tr>
    </w:tbl>
    <w:p w:rsidR="006D04BC" w:rsidRDefault="006D04BC" w:rsidP="006D04BC">
      <w:pPr>
        <w:tabs>
          <w:tab w:val="left" w:pos="580"/>
        </w:tabs>
      </w:pPr>
    </w:p>
    <w:p w:rsidR="006D04BC" w:rsidRDefault="006D04BC" w:rsidP="006D04BC">
      <w:pPr>
        <w:tabs>
          <w:tab w:val="left" w:pos="580"/>
        </w:tabs>
      </w:pPr>
    </w:p>
    <w:p w:rsidR="00792AC2" w:rsidRDefault="00792AC2" w:rsidP="006D04BC">
      <w:pPr>
        <w:tabs>
          <w:tab w:val="left" w:pos="580"/>
        </w:tabs>
      </w:pPr>
    </w:p>
    <w:p w:rsidR="00792AC2" w:rsidRDefault="00792AC2" w:rsidP="006D04BC">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811CD1" w:rsidTr="006D1E09">
        <w:trPr>
          <w:trHeight w:val="207"/>
        </w:trPr>
        <w:tc>
          <w:tcPr>
            <w:tcW w:w="4819" w:type="dxa"/>
            <w:tcBorders>
              <w:bottom w:val="single" w:sz="4" w:space="0" w:color="auto"/>
            </w:tcBorders>
            <w:tcMar>
              <w:left w:w="0" w:type="dxa"/>
            </w:tcMar>
          </w:tcPr>
          <w:p w:rsidR="00811CD1" w:rsidRPr="006C2117" w:rsidRDefault="00792AC2" w:rsidP="006D1E09">
            <w:pPr>
              <w:pStyle w:val="Naslov3"/>
              <w:jc w:val="left"/>
            </w:pPr>
            <w:r w:rsidRPr="00792AC2">
              <w:rPr>
                <w:lang w:val="en-GB"/>
              </w:rPr>
              <w:lastRenderedPageBreak/>
              <w:t>Turnover in market services, November 2021</w:t>
            </w:r>
          </w:p>
        </w:tc>
        <w:tc>
          <w:tcPr>
            <w:tcW w:w="4820" w:type="dxa"/>
            <w:gridSpan w:val="2"/>
            <w:tcBorders>
              <w:bottom w:val="single" w:sz="4" w:space="0" w:color="auto"/>
            </w:tcBorders>
          </w:tcPr>
          <w:p w:rsidR="00811CD1" w:rsidRPr="006C2117" w:rsidRDefault="00811CD1" w:rsidP="006D1E09">
            <w:pPr>
              <w:pStyle w:val="Naslov3"/>
            </w:pPr>
          </w:p>
        </w:tc>
      </w:tr>
      <w:tr w:rsidR="00811CD1" w:rsidTr="006D1E09">
        <w:trPr>
          <w:trHeight w:val="1134"/>
        </w:trPr>
        <w:tc>
          <w:tcPr>
            <w:tcW w:w="4982" w:type="dxa"/>
            <w:gridSpan w:val="2"/>
            <w:tcBorders>
              <w:top w:val="single" w:sz="4" w:space="0" w:color="auto"/>
            </w:tcBorders>
            <w:tcMar>
              <w:left w:w="0" w:type="dxa"/>
            </w:tcMar>
          </w:tcPr>
          <w:p w:rsidR="00811CD1" w:rsidRDefault="00B81808" w:rsidP="006D1E09">
            <w:pPr>
              <w:pStyle w:val="ListParagraph"/>
              <w:ind w:left="0"/>
            </w:pPr>
            <w:r>
              <w:rPr>
                <w:noProof/>
              </w:rPr>
              <w:drawing>
                <wp:inline distT="0" distB="0" distL="0" distR="0" wp14:anchorId="64642782">
                  <wp:extent cx="3164400" cy="2325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4400" cy="2325600"/>
                          </a:xfrm>
                          <a:prstGeom prst="rect">
                            <a:avLst/>
                          </a:prstGeom>
                          <a:noFill/>
                        </pic:spPr>
                      </pic:pic>
                    </a:graphicData>
                  </a:graphic>
                </wp:inline>
              </w:drawing>
            </w:r>
          </w:p>
        </w:tc>
        <w:tc>
          <w:tcPr>
            <w:tcW w:w="4657" w:type="dxa"/>
            <w:tcBorders>
              <w:top w:val="single" w:sz="4" w:space="0" w:color="auto"/>
            </w:tcBorders>
            <w:tcMar>
              <w:left w:w="284" w:type="dxa"/>
            </w:tcMar>
          </w:tcPr>
          <w:p w:rsidR="00811CD1" w:rsidRPr="00DF4F0B" w:rsidRDefault="00792AC2" w:rsidP="006D1E09">
            <w:r w:rsidRPr="00792AC2">
              <w:rPr>
                <w:b/>
                <w:lang w:val="en-GB"/>
              </w:rPr>
              <w:t xml:space="preserve">Real turnover in market services rose again last November. </w:t>
            </w:r>
            <w:r w:rsidRPr="00792AC2">
              <w:rPr>
                <w:lang w:val="en-GB"/>
              </w:rPr>
              <w:t xml:space="preserve">It was up by 2% compared to the previous month and by 18.9% year-on-year. Turnover grew strongly in transportation and storage and professional and technical activities, mainly due to renewed strong growth in land transport and architectural and engineering services. Turnover in information and communication activities remained at the high previous month’s level. After stagnating in the previous months, the sharpest decline in turnover was recorded in administrative and support service activities, mainly due to a further decline in turnover in employment agencies. With the further worsening of the epidemic situation and the restrictions on business operations, turnover further declined in accommodation and food service activities. Turnover in November 2021 was higher year-on-year in all market services, but compared to the same month in 2019, only travel and employment agencies saw significantly lower turnover (by 46% and by 22% respectively).  </w:t>
            </w:r>
          </w:p>
        </w:tc>
      </w:tr>
    </w:tbl>
    <w:p w:rsidR="001A31EE" w:rsidRDefault="001A31EE" w:rsidP="006D04BC">
      <w:pPr>
        <w:tabs>
          <w:tab w:val="left" w:pos="580"/>
        </w:tabs>
      </w:pPr>
    </w:p>
    <w:p w:rsidR="006D04BC" w:rsidRDefault="006D04BC" w:rsidP="006D04BC">
      <w:pPr>
        <w:tabs>
          <w:tab w:val="left" w:pos="580"/>
        </w:tabs>
      </w:pPr>
    </w:p>
    <w:p w:rsidR="00811CD1" w:rsidRDefault="00811CD1" w:rsidP="006D04BC">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3098"/>
        <w:gridCol w:w="1559"/>
      </w:tblGrid>
      <w:tr w:rsidR="00811CD1" w:rsidTr="006F21B9">
        <w:trPr>
          <w:trHeight w:val="207"/>
        </w:trPr>
        <w:tc>
          <w:tcPr>
            <w:tcW w:w="8080" w:type="dxa"/>
            <w:gridSpan w:val="2"/>
            <w:tcBorders>
              <w:bottom w:val="single" w:sz="4" w:space="0" w:color="auto"/>
            </w:tcBorders>
            <w:tcMar>
              <w:left w:w="0" w:type="dxa"/>
            </w:tcMar>
          </w:tcPr>
          <w:p w:rsidR="00811CD1" w:rsidRPr="006C2117" w:rsidRDefault="00792AC2" w:rsidP="006D1E09">
            <w:pPr>
              <w:pStyle w:val="Naslov3"/>
              <w:jc w:val="left"/>
            </w:pPr>
            <w:r w:rsidRPr="00792AC2">
              <w:rPr>
                <w:lang w:val="en-GB"/>
              </w:rPr>
              <w:t>Turnover based on fiscal verification of invoices, 9–22 January 2022</w:t>
            </w:r>
          </w:p>
        </w:tc>
        <w:tc>
          <w:tcPr>
            <w:tcW w:w="1559" w:type="dxa"/>
            <w:tcBorders>
              <w:bottom w:val="single" w:sz="4" w:space="0" w:color="auto"/>
            </w:tcBorders>
          </w:tcPr>
          <w:p w:rsidR="00811CD1" w:rsidRPr="006C2117" w:rsidRDefault="00811CD1" w:rsidP="006D1E09">
            <w:pPr>
              <w:pStyle w:val="Naslov3"/>
            </w:pPr>
          </w:p>
        </w:tc>
      </w:tr>
      <w:tr w:rsidR="00811CD1" w:rsidTr="006D1E09">
        <w:trPr>
          <w:trHeight w:val="1134"/>
        </w:trPr>
        <w:tc>
          <w:tcPr>
            <w:tcW w:w="4982" w:type="dxa"/>
            <w:tcBorders>
              <w:top w:val="single" w:sz="4" w:space="0" w:color="auto"/>
            </w:tcBorders>
            <w:tcMar>
              <w:left w:w="0" w:type="dxa"/>
            </w:tcMar>
          </w:tcPr>
          <w:p w:rsidR="00811CD1" w:rsidRDefault="00B62604" w:rsidP="006D1E09">
            <w:pPr>
              <w:pStyle w:val="ListParagraph"/>
              <w:ind w:left="0"/>
            </w:pPr>
            <w:r>
              <w:rPr>
                <w:noProof/>
              </w:rPr>
              <w:drawing>
                <wp:inline distT="0" distB="0" distL="0" distR="0" wp14:anchorId="59FF2972">
                  <wp:extent cx="3088800" cy="2448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8800" cy="2448000"/>
                          </a:xfrm>
                          <a:prstGeom prst="rect">
                            <a:avLst/>
                          </a:prstGeom>
                          <a:noFill/>
                        </pic:spPr>
                      </pic:pic>
                    </a:graphicData>
                  </a:graphic>
                </wp:inline>
              </w:drawing>
            </w:r>
          </w:p>
        </w:tc>
        <w:tc>
          <w:tcPr>
            <w:tcW w:w="4657" w:type="dxa"/>
            <w:gridSpan w:val="2"/>
            <w:tcBorders>
              <w:top w:val="single" w:sz="4" w:space="0" w:color="auto"/>
            </w:tcBorders>
            <w:tcMar>
              <w:left w:w="284" w:type="dxa"/>
            </w:tcMar>
          </w:tcPr>
          <w:p w:rsidR="00811CD1" w:rsidRPr="00DF4F0B" w:rsidRDefault="00792AC2" w:rsidP="006D1E09">
            <w:r w:rsidRPr="00792AC2">
              <w:rPr>
                <w:b/>
                <w:lang w:val="en-GB"/>
              </w:rPr>
              <w:t xml:space="preserve">According to data on fiscal verification of invoices, total turnover between 9 and 22 January 2022 was 19% higher year-on-year and 1% higher than in the same period of 2019. </w:t>
            </w:r>
            <w:r w:rsidRPr="00792AC2">
              <w:rPr>
                <w:lang w:val="en-GB"/>
              </w:rPr>
              <w:t xml:space="preserve">Year-on-year growth has fallen sharply compared to growth in the last two weeks, partly due to the worsening epidemiological situation. As a result, the number of people in quarantine, isolation and self-isolation increased, which was reflected in lower year-on-year turnover growth across all sectors. Although growth was lower, it remained very high year-on-year in the activities that were still almost completely shut down at the beginning of 2021 – mainly in tourism-related services. Growth in total turnover was also significantly lower than in the previous two weeks compared to turnover in the same period of 2019. Growth in trade fell to 1% (turnover in retail sales was lower than in 2019); most other sectors have widened the gap with pre-crisis levels.  </w:t>
            </w:r>
          </w:p>
        </w:tc>
      </w:tr>
    </w:tbl>
    <w:p w:rsidR="001A31EE" w:rsidRDefault="001A31EE" w:rsidP="006D04BC">
      <w:pPr>
        <w:sectPr w:rsidR="001A31EE" w:rsidSect="006D04BC">
          <w:footerReference w:type="default" r:id="rId13"/>
          <w:headerReference w:type="first" r:id="rId14"/>
          <w:footerReference w:type="first" r:id="rId15"/>
          <w:type w:val="continuous"/>
          <w:pgSz w:w="11906" w:h="16838"/>
          <w:pgMar w:top="1134" w:right="1134" w:bottom="1021" w:left="1134" w:header="709" w:footer="397" w:gutter="0"/>
          <w:cols w:space="708"/>
          <w:titlePg/>
          <w:docGrid w:linePitch="360"/>
        </w:sectPr>
      </w:pPr>
    </w:p>
    <w:p w:rsidR="006D04BC" w:rsidRDefault="00847299" w:rsidP="006D04BC">
      <w:r w:rsidRPr="00847299">
        <w:rPr>
          <w:noProof/>
        </w:rPr>
        <w:lastRenderedPageBreak/>
        <w:drawing>
          <wp:inline distT="0" distB="0" distL="0" distR="0">
            <wp:extent cx="6120130" cy="838810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8388103"/>
                    </a:xfrm>
                    <a:prstGeom prst="rect">
                      <a:avLst/>
                    </a:prstGeom>
                    <a:noFill/>
                    <a:ln>
                      <a:noFill/>
                    </a:ln>
                  </pic:spPr>
                </pic:pic>
              </a:graphicData>
            </a:graphic>
          </wp:inline>
        </w:drawing>
      </w:r>
    </w:p>
    <w:p w:rsidR="00784980" w:rsidRPr="00887D7E" w:rsidRDefault="00784980" w:rsidP="001F51CD">
      <w:pPr>
        <w:tabs>
          <w:tab w:val="left" w:pos="580"/>
        </w:tabs>
      </w:pPr>
    </w:p>
    <w:sectPr w:rsidR="00784980" w:rsidRPr="00887D7E" w:rsidSect="001A31EE">
      <w:headerReference w:type="default" r:id="rId17"/>
      <w:footerReference w:type="default" r:id="rId18"/>
      <w:pgSz w:w="11906" w:h="16838"/>
      <w:pgMar w:top="1134" w:right="1134" w:bottom="1021"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81C77" w:rsidRDefault="00881C77" w:rsidP="0063497B">
      <w:pPr>
        <w:spacing w:line="240" w:lineRule="auto"/>
      </w:pPr>
      <w:r>
        <w:separator/>
      </w:r>
    </w:p>
  </w:endnote>
  <w:endnote w:type="continuationSeparator" w:id="0">
    <w:p w:rsidR="00881C77" w:rsidRDefault="00881C77" w:rsidP="006349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altName w:val="Myriad Pro"/>
    <w:panose1 w:val="020B0503030403020204"/>
    <w:charset w:val="00"/>
    <w:family w:val="swiss"/>
    <w:notTrueType/>
    <w:pitch w:val="variable"/>
    <w:sig w:usb0="A00002AF" w:usb1="5000204B" w:usb2="00000000" w:usb3="00000000" w:csb0="000000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3932" w:rsidRPr="006D04BC" w:rsidRDefault="00F6408C" w:rsidP="001A31EE">
    <w:pPr>
      <w:pStyle w:val="Naslov3"/>
      <w:tabs>
        <w:tab w:val="left" w:pos="7980"/>
        <w:tab w:val="right" w:pos="9638"/>
      </w:tabs>
      <w:jc w:val="left"/>
      <w:rPr>
        <w:b w:val="0"/>
        <w:sz w:val="18"/>
        <w:szCs w:val="18"/>
      </w:rPr>
    </w:pPr>
    <w:r w:rsidRPr="00F6408C">
      <w:rPr>
        <w:sz w:val="18"/>
        <w:szCs w:val="18"/>
      </w:rPr>
      <w:t xml:space="preserve">More </w:t>
    </w:r>
    <w:proofErr w:type="spellStart"/>
    <w:r w:rsidRPr="00F6408C">
      <w:rPr>
        <w:sz w:val="18"/>
        <w:szCs w:val="18"/>
      </w:rPr>
      <w:t>information</w:t>
    </w:r>
    <w:proofErr w:type="spellEnd"/>
    <w:r w:rsidR="00D55827" w:rsidRPr="000A4980">
      <w:rPr>
        <w:sz w:val="18"/>
        <w:szCs w:val="18"/>
      </w:rPr>
      <w:t>:</w:t>
    </w:r>
    <w:r w:rsidR="00D55827" w:rsidRPr="000A4980">
      <w:rPr>
        <w:rStyle w:val="Naslov3Char"/>
        <w:b/>
        <w:sz w:val="18"/>
        <w:szCs w:val="18"/>
      </w:rPr>
      <w:t xml:space="preserve"> </w:t>
    </w:r>
    <w:proofErr w:type="spellStart"/>
    <w:r w:rsidR="00D55827" w:rsidRPr="000A4980">
      <w:rPr>
        <w:b w:val="0"/>
        <w:sz w:val="18"/>
      </w:rPr>
      <w:t>phone</w:t>
    </w:r>
    <w:proofErr w:type="spellEnd"/>
    <w:r w:rsidR="00D55827" w:rsidRPr="000A4980">
      <w:rPr>
        <w:b w:val="0"/>
        <w:sz w:val="18"/>
      </w:rPr>
      <w:t xml:space="preserve">: +386 1 478 10 04, e-mail: </w:t>
    </w:r>
    <w:hyperlink r:id="rId1" w:history="1">
      <w:r w:rsidR="00D55827" w:rsidRPr="000A4980">
        <w:rPr>
          <w:rStyle w:val="Hyperlink"/>
          <w:b w:val="0"/>
          <w:color w:val="auto"/>
          <w:sz w:val="18"/>
          <w:u w:val="none"/>
        </w:rPr>
        <w:t>polona.osrajnik@gov.si</w:t>
      </w:r>
    </w:hyperlink>
    <w:r w:rsidR="006D04BC">
      <w:rPr>
        <w:sz w:val="18"/>
        <w:szCs w:val="18"/>
      </w:rPr>
      <w:tab/>
    </w:r>
    <w:r w:rsidR="001A31EE">
      <w:rPr>
        <w:sz w:val="18"/>
        <w:szCs w:val="18"/>
      </w:rPr>
      <w:tab/>
    </w:r>
    <w:sdt>
      <w:sdtPr>
        <w:rPr>
          <w:sz w:val="18"/>
          <w:szCs w:val="18"/>
        </w:rPr>
        <w:id w:val="2020815133"/>
        <w:docPartObj>
          <w:docPartGallery w:val="Page Numbers (Bottom of Page)"/>
          <w:docPartUnique/>
        </w:docPartObj>
      </w:sdtPr>
      <w:sdtEndPr/>
      <w:sdtContent>
        <w:r w:rsidR="006D04BC" w:rsidRPr="00363E63">
          <w:rPr>
            <w:sz w:val="18"/>
            <w:szCs w:val="18"/>
          </w:rPr>
          <w:fldChar w:fldCharType="begin"/>
        </w:r>
        <w:r w:rsidR="006D04BC" w:rsidRPr="00363E63">
          <w:rPr>
            <w:sz w:val="18"/>
            <w:szCs w:val="18"/>
          </w:rPr>
          <w:instrText>PAGE   \* MERGEFORMAT</w:instrText>
        </w:r>
        <w:r w:rsidR="006D04BC" w:rsidRPr="00363E63">
          <w:rPr>
            <w:sz w:val="18"/>
            <w:szCs w:val="18"/>
          </w:rPr>
          <w:fldChar w:fldCharType="separate"/>
        </w:r>
        <w:r w:rsidR="006D04BC">
          <w:rPr>
            <w:sz w:val="18"/>
            <w:szCs w:val="18"/>
          </w:rPr>
          <w:t>1</w:t>
        </w:r>
        <w:r w:rsidR="006D04BC" w:rsidRPr="00363E63">
          <w:rPr>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3932" w:rsidRPr="006D04BC" w:rsidRDefault="00F6408C" w:rsidP="006D04BC">
    <w:pPr>
      <w:pStyle w:val="Naslov3"/>
      <w:tabs>
        <w:tab w:val="right" w:pos="9638"/>
      </w:tabs>
      <w:jc w:val="left"/>
      <w:rPr>
        <w:b w:val="0"/>
        <w:sz w:val="18"/>
        <w:szCs w:val="18"/>
      </w:rPr>
    </w:pPr>
    <w:r w:rsidRPr="00F6408C">
      <w:rPr>
        <w:sz w:val="18"/>
        <w:szCs w:val="18"/>
      </w:rPr>
      <w:t xml:space="preserve">More </w:t>
    </w:r>
    <w:proofErr w:type="spellStart"/>
    <w:r w:rsidRPr="00F6408C">
      <w:rPr>
        <w:sz w:val="18"/>
        <w:szCs w:val="18"/>
      </w:rPr>
      <w:t>information</w:t>
    </w:r>
    <w:proofErr w:type="spellEnd"/>
    <w:r w:rsidR="00D55827" w:rsidRPr="000A4980">
      <w:rPr>
        <w:sz w:val="18"/>
        <w:szCs w:val="18"/>
      </w:rPr>
      <w:t>:</w:t>
    </w:r>
    <w:r w:rsidR="00D55827" w:rsidRPr="000A4980">
      <w:rPr>
        <w:rStyle w:val="Naslov3Char"/>
        <w:b/>
        <w:sz w:val="18"/>
        <w:szCs w:val="18"/>
      </w:rPr>
      <w:t xml:space="preserve"> </w:t>
    </w:r>
    <w:proofErr w:type="spellStart"/>
    <w:r w:rsidR="00D55827" w:rsidRPr="000A4980">
      <w:rPr>
        <w:b w:val="0"/>
        <w:sz w:val="18"/>
      </w:rPr>
      <w:t>phone</w:t>
    </w:r>
    <w:proofErr w:type="spellEnd"/>
    <w:r w:rsidR="00D55827" w:rsidRPr="000A4980">
      <w:rPr>
        <w:b w:val="0"/>
        <w:sz w:val="18"/>
      </w:rPr>
      <w:t xml:space="preserve">: +386 1 478 10 04, e-mail: </w:t>
    </w:r>
    <w:hyperlink r:id="rId1" w:history="1">
      <w:r w:rsidR="00D55827" w:rsidRPr="000A4980">
        <w:rPr>
          <w:rStyle w:val="Hyperlink"/>
          <w:b w:val="0"/>
          <w:color w:val="auto"/>
          <w:sz w:val="18"/>
          <w:u w:val="none"/>
        </w:rPr>
        <w:t>polona.osrajnik@gov.si</w:t>
      </w:r>
    </w:hyperlink>
    <w:r w:rsidR="006D04BC">
      <w:rPr>
        <w:sz w:val="18"/>
        <w:szCs w:val="18"/>
      </w:rPr>
      <w:tab/>
    </w:r>
    <w:sdt>
      <w:sdtPr>
        <w:rPr>
          <w:sz w:val="18"/>
          <w:szCs w:val="18"/>
        </w:rPr>
        <w:id w:val="-652685202"/>
        <w:docPartObj>
          <w:docPartGallery w:val="Page Numbers (Bottom of Page)"/>
          <w:docPartUnique/>
        </w:docPartObj>
      </w:sdtPr>
      <w:sdtEndPr/>
      <w:sdtContent>
        <w:r w:rsidR="006D04BC" w:rsidRPr="00363E63">
          <w:rPr>
            <w:sz w:val="18"/>
            <w:szCs w:val="18"/>
          </w:rPr>
          <w:fldChar w:fldCharType="begin"/>
        </w:r>
        <w:r w:rsidR="006D04BC" w:rsidRPr="00363E63">
          <w:rPr>
            <w:sz w:val="18"/>
            <w:szCs w:val="18"/>
          </w:rPr>
          <w:instrText>PAGE   \* MERGEFORMAT</w:instrText>
        </w:r>
        <w:r w:rsidR="006D04BC" w:rsidRPr="00363E63">
          <w:rPr>
            <w:sz w:val="18"/>
            <w:szCs w:val="18"/>
          </w:rPr>
          <w:fldChar w:fldCharType="separate"/>
        </w:r>
        <w:r w:rsidR="006D04BC">
          <w:rPr>
            <w:sz w:val="18"/>
            <w:szCs w:val="18"/>
          </w:rPr>
          <w:t>2</w:t>
        </w:r>
        <w:r w:rsidR="006D04BC" w:rsidRPr="00363E63">
          <w:rPr>
            <w:sz w:val="18"/>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27BA" w:rsidRPr="009539F3" w:rsidRDefault="001327BA" w:rsidP="001327BA">
    <w:pPr>
      <w:pStyle w:val="Naslov3"/>
      <w:tabs>
        <w:tab w:val="left" w:pos="7980"/>
        <w:tab w:val="right" w:pos="9638"/>
      </w:tabs>
      <w:spacing w:line="240" w:lineRule="auto"/>
      <w:rPr>
        <w:b w:val="0"/>
        <w:sz w:val="18"/>
        <w:szCs w:val="18"/>
      </w:rPr>
    </w:pPr>
    <w:proofErr w:type="spellStart"/>
    <w:r w:rsidRPr="009539F3">
      <w:rPr>
        <w:b w:val="0"/>
        <w:sz w:val="18"/>
        <w:szCs w:val="18"/>
      </w:rPr>
      <w:t>The</w:t>
    </w:r>
    <w:proofErr w:type="spellEnd"/>
    <w:r w:rsidRPr="009539F3">
      <w:rPr>
        <w:b w:val="0"/>
        <w:sz w:val="18"/>
        <w:szCs w:val="18"/>
      </w:rPr>
      <w:t xml:space="preserve"> table format </w:t>
    </w:r>
    <w:proofErr w:type="spellStart"/>
    <w:r w:rsidRPr="009539F3">
      <w:rPr>
        <w:b w:val="0"/>
        <w:sz w:val="18"/>
        <w:szCs w:val="18"/>
      </w:rPr>
      <w:t>accessible</w:t>
    </w:r>
    <w:proofErr w:type="spellEnd"/>
    <w:r w:rsidRPr="009539F3">
      <w:rPr>
        <w:b w:val="0"/>
        <w:sz w:val="18"/>
        <w:szCs w:val="18"/>
      </w:rPr>
      <w:t xml:space="preserve"> to </w:t>
    </w:r>
    <w:proofErr w:type="spellStart"/>
    <w:r w:rsidRPr="009539F3">
      <w:rPr>
        <w:b w:val="0"/>
        <w:sz w:val="18"/>
        <w:szCs w:val="18"/>
      </w:rPr>
      <w:t>screen</w:t>
    </w:r>
    <w:proofErr w:type="spellEnd"/>
    <w:r w:rsidRPr="009539F3">
      <w:rPr>
        <w:b w:val="0"/>
        <w:sz w:val="18"/>
        <w:szCs w:val="18"/>
      </w:rPr>
      <w:t xml:space="preserve"> </w:t>
    </w:r>
    <w:proofErr w:type="spellStart"/>
    <w:r w:rsidRPr="009539F3">
      <w:rPr>
        <w:b w:val="0"/>
        <w:sz w:val="18"/>
        <w:szCs w:val="18"/>
      </w:rPr>
      <w:t>reader</w:t>
    </w:r>
    <w:proofErr w:type="spellEnd"/>
    <w:r w:rsidRPr="009539F3">
      <w:rPr>
        <w:b w:val="0"/>
        <w:sz w:val="18"/>
        <w:szCs w:val="18"/>
      </w:rPr>
      <w:t xml:space="preserve"> </w:t>
    </w:r>
    <w:proofErr w:type="spellStart"/>
    <w:r w:rsidRPr="009539F3">
      <w:rPr>
        <w:b w:val="0"/>
        <w:sz w:val="18"/>
        <w:szCs w:val="18"/>
      </w:rPr>
      <w:t>users</w:t>
    </w:r>
    <w:proofErr w:type="spellEnd"/>
    <w:r w:rsidRPr="009539F3">
      <w:rPr>
        <w:b w:val="0"/>
        <w:sz w:val="18"/>
        <w:szCs w:val="18"/>
      </w:rPr>
      <w:t xml:space="preserve"> </w:t>
    </w:r>
    <w:proofErr w:type="spellStart"/>
    <w:r w:rsidRPr="009539F3">
      <w:rPr>
        <w:b w:val="0"/>
        <w:sz w:val="18"/>
        <w:szCs w:val="18"/>
      </w:rPr>
      <w:t>can</w:t>
    </w:r>
    <w:proofErr w:type="spellEnd"/>
    <w:r w:rsidRPr="009539F3">
      <w:rPr>
        <w:b w:val="0"/>
        <w:sz w:val="18"/>
        <w:szCs w:val="18"/>
      </w:rPr>
      <w:t xml:space="preserve"> be </w:t>
    </w:r>
    <w:proofErr w:type="spellStart"/>
    <w:r w:rsidRPr="009539F3">
      <w:rPr>
        <w:b w:val="0"/>
        <w:sz w:val="18"/>
        <w:szCs w:val="18"/>
      </w:rPr>
      <w:t>found</w:t>
    </w:r>
    <w:proofErr w:type="spellEnd"/>
    <w:r w:rsidRPr="009539F3">
      <w:rPr>
        <w:b w:val="0"/>
        <w:sz w:val="18"/>
        <w:szCs w:val="18"/>
      </w:rPr>
      <w:t xml:space="preserve"> on </w:t>
    </w:r>
    <w:proofErr w:type="spellStart"/>
    <w:r w:rsidRPr="009539F3">
      <w:rPr>
        <w:b w:val="0"/>
        <w:sz w:val="18"/>
        <w:szCs w:val="18"/>
      </w:rPr>
      <w:t>the</w:t>
    </w:r>
    <w:proofErr w:type="spellEnd"/>
    <w:r w:rsidRPr="009539F3">
      <w:rPr>
        <w:b w:val="0"/>
        <w:sz w:val="18"/>
        <w:szCs w:val="18"/>
      </w:rPr>
      <w:t xml:space="preserve"> IMAD </w:t>
    </w:r>
    <w:proofErr w:type="spellStart"/>
    <w:r w:rsidRPr="009539F3">
      <w:rPr>
        <w:b w:val="0"/>
        <w:sz w:val="18"/>
        <w:szCs w:val="18"/>
      </w:rPr>
      <w:t>website</w:t>
    </w:r>
    <w:proofErr w:type="spellEnd"/>
    <w:r w:rsidRPr="009539F3">
      <w:rPr>
        <w:b w:val="0"/>
        <w:sz w:val="18"/>
        <w:szCs w:val="18"/>
      </w:rPr>
      <w:t xml:space="preserve"> </w:t>
    </w:r>
    <w:proofErr w:type="spellStart"/>
    <w:r w:rsidRPr="009539F3">
      <w:rPr>
        <w:b w:val="0"/>
        <w:sz w:val="18"/>
        <w:szCs w:val="18"/>
      </w:rPr>
      <w:t>among</w:t>
    </w:r>
    <w:proofErr w:type="spellEnd"/>
    <w:r w:rsidRPr="009539F3">
      <w:rPr>
        <w:b w:val="0"/>
        <w:sz w:val="18"/>
        <w:szCs w:val="18"/>
      </w:rPr>
      <w:t xml:space="preserve"> </w:t>
    </w:r>
    <w:proofErr w:type="spellStart"/>
    <w:r w:rsidRPr="009539F3">
      <w:rPr>
        <w:b w:val="0"/>
        <w:sz w:val="18"/>
        <w:szCs w:val="18"/>
      </w:rPr>
      <w:t>the</w:t>
    </w:r>
    <w:proofErr w:type="spellEnd"/>
    <w:r w:rsidRPr="009539F3">
      <w:rPr>
        <w:b w:val="0"/>
        <w:sz w:val="18"/>
        <w:szCs w:val="18"/>
      </w:rPr>
      <w:t xml:space="preserve"> </w:t>
    </w:r>
    <w:proofErr w:type="spellStart"/>
    <w:r w:rsidRPr="009539F3">
      <w:rPr>
        <w:b w:val="0"/>
        <w:sz w:val="18"/>
        <w:szCs w:val="18"/>
      </w:rPr>
      <w:t>appendices</w:t>
    </w:r>
    <w:proofErr w:type="spellEnd"/>
    <w:r w:rsidRPr="009539F3">
      <w:rPr>
        <w:b w:val="0"/>
        <w:sz w:val="18"/>
        <w:szCs w:val="18"/>
      </w:rPr>
      <w:t xml:space="preserve"> to </w:t>
    </w:r>
    <w:proofErr w:type="spellStart"/>
    <w:r w:rsidRPr="009539F3">
      <w:rPr>
        <w:b w:val="0"/>
        <w:sz w:val="18"/>
        <w:szCs w:val="18"/>
      </w:rPr>
      <w:t>the</w:t>
    </w:r>
    <w:proofErr w:type="spellEnd"/>
    <w:r w:rsidRPr="009539F3">
      <w:rPr>
        <w:b w:val="0"/>
        <w:sz w:val="18"/>
        <w:szCs w:val="18"/>
      </w:rPr>
      <w:t xml:space="preserve"> </w:t>
    </w:r>
    <w:proofErr w:type="spellStart"/>
    <w:r w:rsidRPr="009539F3">
      <w:rPr>
        <w:b w:val="0"/>
        <w:sz w:val="18"/>
        <w:szCs w:val="18"/>
      </w:rPr>
      <w:t>current</w:t>
    </w:r>
    <w:proofErr w:type="spellEnd"/>
    <w:r w:rsidRPr="009539F3">
      <w:rPr>
        <w:b w:val="0"/>
        <w:sz w:val="18"/>
        <w:szCs w:val="18"/>
      </w:rPr>
      <w:t xml:space="preserve"> </w:t>
    </w:r>
    <w:proofErr w:type="spellStart"/>
    <w:r w:rsidRPr="009539F3">
      <w:rPr>
        <w:b w:val="0"/>
        <w:sz w:val="18"/>
        <w:szCs w:val="18"/>
      </w:rPr>
      <w:t>graphs</w:t>
    </w:r>
    <w:proofErr w:type="spellEnd"/>
    <w:r w:rsidRPr="009539F3">
      <w:rPr>
        <w:b w:val="0"/>
        <w:sz w:val="18"/>
        <w:szCs w:val="18"/>
      </w:rPr>
      <w:t xml:space="preserve"> </w:t>
    </w:r>
    <w:proofErr w:type="spellStart"/>
    <w:r w:rsidRPr="009539F3">
      <w:rPr>
        <w:b w:val="0"/>
        <w:sz w:val="18"/>
        <w:szCs w:val="18"/>
      </w:rPr>
      <w:t>of</w:t>
    </w:r>
    <w:proofErr w:type="spellEnd"/>
    <w:r w:rsidRPr="009539F3">
      <w:rPr>
        <w:b w:val="0"/>
        <w:sz w:val="18"/>
        <w:szCs w:val="18"/>
      </w:rPr>
      <w:t xml:space="preserve"> </w:t>
    </w:r>
    <w:proofErr w:type="spellStart"/>
    <w:r w:rsidRPr="009539F3">
      <w:rPr>
        <w:b w:val="0"/>
        <w:sz w:val="18"/>
        <w:szCs w:val="18"/>
      </w:rPr>
      <w:t>the</w:t>
    </w:r>
    <w:proofErr w:type="spellEnd"/>
    <w:r w:rsidRPr="009539F3">
      <w:rPr>
        <w:b w:val="0"/>
        <w:sz w:val="18"/>
        <w:szCs w:val="18"/>
      </w:rPr>
      <w:t xml:space="preserve"> </w:t>
    </w:r>
    <w:proofErr w:type="spellStart"/>
    <w:r w:rsidRPr="009539F3">
      <w:rPr>
        <w:b w:val="0"/>
        <w:sz w:val="18"/>
        <w:szCs w:val="18"/>
      </w:rPr>
      <w:t>week</w:t>
    </w:r>
    <w:proofErr w:type="spellEnd"/>
    <w:r w:rsidRPr="009539F3">
      <w:rPr>
        <w:b w:val="0"/>
        <w:sz w:val="18"/>
        <w:szCs w:val="18"/>
      </w:rPr>
      <w:t xml:space="preserve"> (</w:t>
    </w:r>
    <w:proofErr w:type="spellStart"/>
    <w:r w:rsidRPr="009539F3">
      <w:rPr>
        <w:b w:val="0"/>
        <w:sz w:val="18"/>
        <w:szCs w:val="18"/>
      </w:rPr>
      <w:t>Selected</w:t>
    </w:r>
    <w:proofErr w:type="spellEnd"/>
    <w:r w:rsidRPr="009539F3">
      <w:rPr>
        <w:b w:val="0"/>
        <w:sz w:val="18"/>
        <w:szCs w:val="18"/>
      </w:rPr>
      <w:t xml:space="preserve"> </w:t>
    </w:r>
    <w:proofErr w:type="spellStart"/>
    <w:r w:rsidRPr="009539F3">
      <w:rPr>
        <w:b w:val="0"/>
        <w:sz w:val="18"/>
        <w:szCs w:val="18"/>
      </w:rPr>
      <w:t>macroeconomic</w:t>
    </w:r>
    <w:proofErr w:type="spellEnd"/>
    <w:r w:rsidRPr="009539F3">
      <w:rPr>
        <w:b w:val="0"/>
        <w:sz w:val="18"/>
        <w:szCs w:val="18"/>
      </w:rPr>
      <w:t xml:space="preserve"> </w:t>
    </w:r>
    <w:proofErr w:type="spellStart"/>
    <w:r w:rsidRPr="009539F3">
      <w:rPr>
        <w:b w:val="0"/>
        <w:sz w:val="18"/>
        <w:szCs w:val="18"/>
      </w:rPr>
      <w:t>indicators</w:t>
    </w:r>
    <w:proofErr w:type="spellEnd"/>
    <w:r w:rsidRPr="009539F3">
      <w:rPr>
        <w:b w:val="0"/>
        <w:sz w:val="18"/>
        <w:szCs w:val="18"/>
      </w:rPr>
      <w:t xml:space="preserve"> </w:t>
    </w:r>
    <w:proofErr w:type="spellStart"/>
    <w:r w:rsidRPr="009539F3">
      <w:rPr>
        <w:b w:val="0"/>
        <w:sz w:val="18"/>
        <w:szCs w:val="18"/>
      </w:rPr>
      <w:t>for</w:t>
    </w:r>
    <w:proofErr w:type="spellEnd"/>
    <w:r w:rsidRPr="009539F3">
      <w:rPr>
        <w:b w:val="0"/>
        <w:sz w:val="18"/>
        <w:szCs w:val="18"/>
      </w:rPr>
      <w:t xml:space="preserve"> euro area) </w:t>
    </w:r>
  </w:p>
  <w:p w:rsidR="001327BA" w:rsidRDefault="001327BA" w:rsidP="001327BA">
    <w:pPr>
      <w:pStyle w:val="Naslov3"/>
      <w:tabs>
        <w:tab w:val="left" w:pos="7980"/>
        <w:tab w:val="right" w:pos="9638"/>
      </w:tabs>
      <w:spacing w:line="240" w:lineRule="auto"/>
      <w:jc w:val="left"/>
      <w:rPr>
        <w:sz w:val="18"/>
        <w:szCs w:val="18"/>
      </w:rPr>
    </w:pPr>
  </w:p>
  <w:p w:rsidR="001A31EE" w:rsidRPr="006D04BC" w:rsidRDefault="00F6408C" w:rsidP="001327BA">
    <w:pPr>
      <w:pStyle w:val="Naslov3"/>
      <w:tabs>
        <w:tab w:val="right" w:pos="9638"/>
      </w:tabs>
      <w:spacing w:line="240" w:lineRule="auto"/>
      <w:jc w:val="left"/>
      <w:rPr>
        <w:b w:val="0"/>
        <w:sz w:val="18"/>
        <w:szCs w:val="18"/>
      </w:rPr>
    </w:pPr>
    <w:r w:rsidRPr="00F6408C">
      <w:rPr>
        <w:sz w:val="18"/>
        <w:szCs w:val="18"/>
      </w:rPr>
      <w:t xml:space="preserve">More </w:t>
    </w:r>
    <w:proofErr w:type="spellStart"/>
    <w:r w:rsidRPr="00F6408C">
      <w:rPr>
        <w:sz w:val="18"/>
        <w:szCs w:val="18"/>
      </w:rPr>
      <w:t>information</w:t>
    </w:r>
    <w:proofErr w:type="spellEnd"/>
    <w:r w:rsidR="00D55827" w:rsidRPr="000A4980">
      <w:rPr>
        <w:sz w:val="18"/>
        <w:szCs w:val="18"/>
      </w:rPr>
      <w:t>:</w:t>
    </w:r>
    <w:r w:rsidR="00D55827" w:rsidRPr="000A4980">
      <w:rPr>
        <w:rStyle w:val="Naslov3Char"/>
        <w:b/>
        <w:sz w:val="18"/>
        <w:szCs w:val="18"/>
      </w:rPr>
      <w:t xml:space="preserve"> </w:t>
    </w:r>
    <w:proofErr w:type="spellStart"/>
    <w:r w:rsidR="00D55827" w:rsidRPr="000A4980">
      <w:rPr>
        <w:b w:val="0"/>
        <w:sz w:val="18"/>
      </w:rPr>
      <w:t>phone</w:t>
    </w:r>
    <w:proofErr w:type="spellEnd"/>
    <w:r w:rsidR="00D55827" w:rsidRPr="000A4980">
      <w:rPr>
        <w:b w:val="0"/>
        <w:sz w:val="18"/>
      </w:rPr>
      <w:t xml:space="preserve">: +386 1 478 10 04, e-mail: </w:t>
    </w:r>
    <w:hyperlink r:id="rId1" w:history="1">
      <w:r w:rsidR="00D55827" w:rsidRPr="000A4980">
        <w:rPr>
          <w:rStyle w:val="Hyperlink"/>
          <w:b w:val="0"/>
          <w:color w:val="auto"/>
          <w:sz w:val="18"/>
          <w:u w:val="none"/>
        </w:rPr>
        <w:t>polona.osrajnik@gov.si</w:t>
      </w:r>
    </w:hyperlink>
    <w:r w:rsidR="001A31EE">
      <w:rPr>
        <w:sz w:val="18"/>
        <w:szCs w:val="18"/>
      </w:rPr>
      <w:tab/>
    </w:r>
    <w:sdt>
      <w:sdtPr>
        <w:rPr>
          <w:sz w:val="18"/>
          <w:szCs w:val="18"/>
        </w:rPr>
        <w:id w:val="-1083293352"/>
        <w:docPartObj>
          <w:docPartGallery w:val="Page Numbers (Bottom of Page)"/>
          <w:docPartUnique/>
        </w:docPartObj>
      </w:sdtPr>
      <w:sdtEndPr/>
      <w:sdtContent>
        <w:r w:rsidR="001A31EE" w:rsidRPr="00363E63">
          <w:rPr>
            <w:sz w:val="18"/>
            <w:szCs w:val="18"/>
          </w:rPr>
          <w:fldChar w:fldCharType="begin"/>
        </w:r>
        <w:r w:rsidR="001A31EE" w:rsidRPr="00363E63">
          <w:rPr>
            <w:sz w:val="18"/>
            <w:szCs w:val="18"/>
          </w:rPr>
          <w:instrText>PAGE   \* MERGEFORMAT</w:instrText>
        </w:r>
        <w:r w:rsidR="001A31EE" w:rsidRPr="00363E63">
          <w:rPr>
            <w:sz w:val="18"/>
            <w:szCs w:val="18"/>
          </w:rPr>
          <w:fldChar w:fldCharType="separate"/>
        </w:r>
        <w:r w:rsidR="001A31EE">
          <w:rPr>
            <w:sz w:val="18"/>
            <w:szCs w:val="18"/>
          </w:rPr>
          <w:t>1</w:t>
        </w:r>
        <w:r w:rsidR="001A31EE" w:rsidRPr="00363E63">
          <w:rPr>
            <w:sz w:val="18"/>
            <w:szCs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81C77" w:rsidRDefault="00881C77" w:rsidP="0063497B">
      <w:pPr>
        <w:spacing w:line="240" w:lineRule="auto"/>
      </w:pPr>
      <w:r>
        <w:separator/>
      </w:r>
    </w:p>
  </w:footnote>
  <w:footnote w:type="continuationSeparator" w:id="0">
    <w:p w:rsidR="00881C77" w:rsidRDefault="00881C77" w:rsidP="0063497B">
      <w:pPr>
        <w:spacing w:line="240" w:lineRule="auto"/>
      </w:pPr>
      <w:r>
        <w:continuationSeparator/>
      </w:r>
    </w:p>
  </w:footnote>
  <w:footnote w:id="1">
    <w:p w:rsidR="00792AC2" w:rsidRPr="00192033" w:rsidRDefault="00792AC2" w:rsidP="00792AC2">
      <w:pPr>
        <w:pStyle w:val="FootnoteText"/>
        <w:rPr>
          <w:sz w:val="18"/>
          <w:szCs w:val="18"/>
        </w:rPr>
      </w:pPr>
      <w:r>
        <w:rPr>
          <w:rStyle w:val="FootnoteReference"/>
          <w:sz w:val="18"/>
          <w:szCs w:val="18"/>
        </w:rPr>
        <w:footnoteRef/>
      </w:r>
      <w:r>
        <w:t xml:space="preserve"> </w:t>
      </w:r>
      <w:r w:rsidRPr="005A3DE1">
        <w:t xml:space="preserve">One </w:t>
      </w:r>
      <w:proofErr w:type="spellStart"/>
      <w:r w:rsidRPr="005A3DE1">
        <w:t>important</w:t>
      </w:r>
      <w:proofErr w:type="spellEnd"/>
      <w:r w:rsidRPr="005A3DE1">
        <w:t xml:space="preserve"> </w:t>
      </w:r>
      <w:proofErr w:type="spellStart"/>
      <w:r w:rsidRPr="005A3DE1">
        <w:t>factor</w:t>
      </w:r>
      <w:proofErr w:type="spellEnd"/>
      <w:r w:rsidRPr="005A3DE1">
        <w:t xml:space="preserve"> </w:t>
      </w:r>
      <w:proofErr w:type="spellStart"/>
      <w:r w:rsidRPr="005A3DE1">
        <w:t>behind</w:t>
      </w:r>
      <w:proofErr w:type="spellEnd"/>
      <w:r w:rsidRPr="005A3DE1">
        <w:t xml:space="preserve"> </w:t>
      </w:r>
      <w:proofErr w:type="spellStart"/>
      <w:r w:rsidRPr="005A3DE1">
        <w:t>these</w:t>
      </w:r>
      <w:proofErr w:type="spellEnd"/>
      <w:r w:rsidRPr="005A3DE1">
        <w:t> </w:t>
      </w:r>
      <w:proofErr w:type="spellStart"/>
      <w:r w:rsidRPr="005A3DE1">
        <w:t>developments</w:t>
      </w:r>
      <w:proofErr w:type="spellEnd"/>
      <w:r w:rsidRPr="005A3DE1">
        <w:t> is</w:t>
      </w:r>
      <w:r w:rsidDel="005A3DE1">
        <w:t xml:space="preserve"> </w:t>
      </w:r>
      <w:proofErr w:type="spellStart"/>
      <w:r>
        <w:t>the</w:t>
      </w:r>
      <w:proofErr w:type="spellEnd"/>
      <w:r>
        <w:t xml:space="preserve"> </w:t>
      </w:r>
      <w:proofErr w:type="spellStart"/>
      <w:r>
        <w:t>declaration</w:t>
      </w:r>
      <w:proofErr w:type="spellEnd"/>
      <w:r>
        <w:t xml:space="preserve"> </w:t>
      </w:r>
      <w:proofErr w:type="spellStart"/>
      <w:r>
        <w:t>of</w:t>
      </w:r>
      <w:proofErr w:type="spellEnd"/>
      <w:r>
        <w:t xml:space="preserve"> </w:t>
      </w:r>
      <w:proofErr w:type="spellStart"/>
      <w:r>
        <w:t>the</w:t>
      </w:r>
      <w:proofErr w:type="spellEnd"/>
      <w:r>
        <w:t xml:space="preserve"> </w:t>
      </w:r>
      <w:proofErr w:type="spellStart"/>
      <w:r>
        <w:t>epidemic</w:t>
      </w:r>
      <w:proofErr w:type="spellEnd"/>
      <w:r>
        <w:t xml:space="preserve"> in November 2020, </w:t>
      </w:r>
      <w:proofErr w:type="spellStart"/>
      <w:r>
        <w:t>which</w:t>
      </w:r>
      <w:proofErr w:type="spellEnd"/>
      <w:r>
        <w:t xml:space="preserve"> led to a </w:t>
      </w:r>
      <w:proofErr w:type="spellStart"/>
      <w:r>
        <w:t>significant</w:t>
      </w:r>
      <w:proofErr w:type="spellEnd"/>
      <w:r>
        <w:t xml:space="preserve"> </w:t>
      </w:r>
      <w:proofErr w:type="spellStart"/>
      <w:r>
        <w:t>increase</w:t>
      </w:r>
      <w:proofErr w:type="spellEnd"/>
      <w:r>
        <w:t xml:space="preserve"> in </w:t>
      </w:r>
      <w:proofErr w:type="spellStart"/>
      <w:r>
        <w:t>wages</w:t>
      </w:r>
      <w:proofErr w:type="spellEnd"/>
      <w:r>
        <w:t xml:space="preserve"> </w:t>
      </w:r>
      <w:proofErr w:type="spellStart"/>
      <w:r>
        <w:t>due</w:t>
      </w:r>
      <w:proofErr w:type="spellEnd"/>
      <w:r>
        <w:t xml:space="preserve"> to </w:t>
      </w:r>
      <w:proofErr w:type="spellStart"/>
      <w:r>
        <w:t>the</w:t>
      </w:r>
      <w:proofErr w:type="spellEnd"/>
      <w:r>
        <w:t xml:space="preserve"> </w:t>
      </w:r>
      <w:proofErr w:type="spellStart"/>
      <w:r>
        <w:t>payment</w:t>
      </w:r>
      <w:proofErr w:type="spellEnd"/>
      <w:r>
        <w:t xml:space="preserve"> </w:t>
      </w:r>
      <w:proofErr w:type="spellStart"/>
      <w:r>
        <w:t>of</w:t>
      </w:r>
      <w:proofErr w:type="spellEnd"/>
      <w:r>
        <w:t xml:space="preserve"> </w:t>
      </w:r>
      <w:proofErr w:type="spellStart"/>
      <w:r>
        <w:t>bonuses</w:t>
      </w:r>
      <w:proofErr w:type="spellEnd"/>
      <w:r>
        <w:t>.</w:t>
      </w:r>
      <w:r>
        <w:rPr>
          <w:sz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546C" w:rsidRDefault="005C546C" w:rsidP="005C546C">
    <w:pPr>
      <w:jc w:val="right"/>
    </w:pPr>
    <w:r w:rsidRPr="00763932">
      <w:rPr>
        <w:noProof/>
      </w:rPr>
      <w:drawing>
        <wp:anchor distT="0" distB="0" distL="114300" distR="114300" simplePos="0" relativeHeight="251672576" behindDoc="0" locked="0" layoutInCell="1" allowOverlap="1" wp14:anchorId="1BEFB25F" wp14:editId="559AAE5E">
          <wp:simplePos x="0" y="0"/>
          <wp:positionH relativeFrom="column">
            <wp:posOffset>-361950</wp:posOffset>
          </wp:positionH>
          <wp:positionV relativeFrom="paragraph">
            <wp:posOffset>53340</wp:posOffset>
          </wp:positionV>
          <wp:extent cx="1155700" cy="1002030"/>
          <wp:effectExtent l="0" t="0" r="6350" b="7620"/>
          <wp:wrapTopAndBottom/>
          <wp:docPr id="6" name="Picture 6" descr="IM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D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5700" cy="1002030"/>
                  </a:xfrm>
                  <a:prstGeom prst="rect">
                    <a:avLst/>
                  </a:prstGeom>
                </pic:spPr>
              </pic:pic>
            </a:graphicData>
          </a:graphic>
          <wp14:sizeRelH relativeFrom="margin">
            <wp14:pctWidth>0</wp14:pctWidth>
          </wp14:sizeRelH>
          <wp14:sizeRelV relativeFrom="margin">
            <wp14:pctHeight>0</wp14:pctHeight>
          </wp14:sizeRelV>
        </wp:anchor>
      </w:drawing>
    </w:r>
    <w:r w:rsidR="00811CD1">
      <w:t>31</w:t>
    </w:r>
    <w:r>
      <w:t xml:space="preserve"> </w:t>
    </w:r>
    <w:proofErr w:type="spellStart"/>
    <w:r w:rsidR="00811CD1">
      <w:t>January</w:t>
    </w:r>
    <w:proofErr w:type="spellEnd"/>
    <w:r>
      <w:t xml:space="preserve"> 20</w:t>
    </w:r>
    <w:r w:rsidR="00811CD1">
      <w:t>22</w:t>
    </w:r>
  </w:p>
  <w:p w:rsidR="005C546C" w:rsidRDefault="005C546C" w:rsidP="005C546C">
    <w:pPr>
      <w:jc w:val="right"/>
    </w:pPr>
  </w:p>
  <w:p w:rsidR="001A31EE" w:rsidRDefault="001A31EE" w:rsidP="005C546C">
    <w:pPr>
      <w:jc w:val="right"/>
    </w:pPr>
  </w:p>
  <w:p w:rsidR="005C546C" w:rsidRDefault="005C546C" w:rsidP="005C546C">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1CD1" w:rsidRDefault="007778A3">
    <w:pPr>
      <w:pStyle w:val="Header"/>
    </w:pPr>
    <w:r w:rsidRPr="00F93880">
      <w:rPr>
        <w:b/>
        <w:bCs/>
      </w:rPr>
      <w:t>Tab</w:t>
    </w:r>
    <w:r>
      <w:rPr>
        <w:b/>
        <w:bCs/>
      </w:rPr>
      <w:t>le</w:t>
    </w:r>
    <w:r w:rsidRPr="00F93880">
      <w:rPr>
        <w:b/>
        <w:bCs/>
      </w:rPr>
      <w:t xml:space="preserve">: </w:t>
    </w:r>
    <w:proofErr w:type="spellStart"/>
    <w:r>
      <w:rPr>
        <w:b/>
        <w:bCs/>
      </w:rPr>
      <w:t>Selected</w:t>
    </w:r>
    <w:proofErr w:type="spellEnd"/>
    <w:r>
      <w:rPr>
        <w:b/>
        <w:bCs/>
      </w:rPr>
      <w:t xml:space="preserve"> </w:t>
    </w:r>
    <w:proofErr w:type="spellStart"/>
    <w:r>
      <w:rPr>
        <w:b/>
        <w:bCs/>
      </w:rPr>
      <w:t>macroeconomic</w:t>
    </w:r>
    <w:proofErr w:type="spellEnd"/>
    <w:r>
      <w:rPr>
        <w:b/>
        <w:bCs/>
      </w:rPr>
      <w:t xml:space="preserve"> </w:t>
    </w:r>
    <w:proofErr w:type="spellStart"/>
    <w:r>
      <w:rPr>
        <w:b/>
        <w:bCs/>
      </w:rPr>
      <w:t>indicators</w:t>
    </w:r>
    <w:proofErr w:type="spellEnd"/>
    <w:r>
      <w:rPr>
        <w:b/>
        <w:bCs/>
      </w:rPr>
      <w:t xml:space="preserve"> </w:t>
    </w:r>
    <w:proofErr w:type="spellStart"/>
    <w:r>
      <w:rPr>
        <w:b/>
        <w:bCs/>
      </w:rPr>
      <w:t>for</w:t>
    </w:r>
    <w:proofErr w:type="spellEnd"/>
    <w:r w:rsidRPr="00F93880">
      <w:rPr>
        <w:b/>
        <w:bCs/>
      </w:rPr>
      <w:t xml:space="preserve"> </w:t>
    </w:r>
    <w:proofErr w:type="spellStart"/>
    <w:r>
      <w:rPr>
        <w:b/>
        <w:bCs/>
      </w:rPr>
      <w:t>S</w:t>
    </w:r>
    <w:r w:rsidRPr="00F93880">
      <w:rPr>
        <w:b/>
        <w:bCs/>
      </w:rPr>
      <w:t>loveni</w:t>
    </w:r>
    <w:r>
      <w:rPr>
        <w:b/>
        <w:bCs/>
      </w:rPr>
      <w:t>a</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pt;height:18.6pt;visibility:visible;mso-wrap-style:square" o:bullet="t">
        <v:imagedata r:id="rId1" o:title=""/>
      </v:shape>
    </w:pict>
  </w:numPicBullet>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PicBulletId w:val="0"/>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SpellingErrors/>
  <w:hideGrammaticalErrors/>
  <w:proofState w:spelling="clean" w:grammar="clean"/>
  <w:defaultTabStop w:val="170"/>
  <w:hyphenationZone w:val="425"/>
  <w:drawingGridHorizontalSpacing w:val="4933"/>
  <w:drawingGridVerticalSpacing w:val="3118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C77"/>
    <w:rsid w:val="00001002"/>
    <w:rsid w:val="00047D38"/>
    <w:rsid w:val="000511FE"/>
    <w:rsid w:val="00070B6E"/>
    <w:rsid w:val="00077F13"/>
    <w:rsid w:val="000A5A42"/>
    <w:rsid w:val="000A7BDC"/>
    <w:rsid w:val="000E172B"/>
    <w:rsid w:val="000E77BB"/>
    <w:rsid w:val="000F15D3"/>
    <w:rsid w:val="00115E8D"/>
    <w:rsid w:val="00123D52"/>
    <w:rsid w:val="00125926"/>
    <w:rsid w:val="001327BA"/>
    <w:rsid w:val="00133E20"/>
    <w:rsid w:val="0016141B"/>
    <w:rsid w:val="00166A48"/>
    <w:rsid w:val="0019138D"/>
    <w:rsid w:val="001A0C98"/>
    <w:rsid w:val="001A2CB5"/>
    <w:rsid w:val="001A31EE"/>
    <w:rsid w:val="001B6AE7"/>
    <w:rsid w:val="001C0587"/>
    <w:rsid w:val="001C138F"/>
    <w:rsid w:val="001C3A33"/>
    <w:rsid w:val="001D6793"/>
    <w:rsid w:val="001F43F0"/>
    <w:rsid w:val="001F51CD"/>
    <w:rsid w:val="00216373"/>
    <w:rsid w:val="0022678C"/>
    <w:rsid w:val="00237023"/>
    <w:rsid w:val="00243593"/>
    <w:rsid w:val="0026509A"/>
    <w:rsid w:val="0026694E"/>
    <w:rsid w:val="002B376F"/>
    <w:rsid w:val="002B4319"/>
    <w:rsid w:val="002B4C3A"/>
    <w:rsid w:val="002B5361"/>
    <w:rsid w:val="002D46EF"/>
    <w:rsid w:val="002E69B6"/>
    <w:rsid w:val="00306767"/>
    <w:rsid w:val="00312702"/>
    <w:rsid w:val="00312D09"/>
    <w:rsid w:val="00373826"/>
    <w:rsid w:val="00384AB6"/>
    <w:rsid w:val="003C614E"/>
    <w:rsid w:val="003D785E"/>
    <w:rsid w:val="00431EDD"/>
    <w:rsid w:val="004361A1"/>
    <w:rsid w:val="004368FB"/>
    <w:rsid w:val="00452589"/>
    <w:rsid w:val="00452804"/>
    <w:rsid w:val="00464D01"/>
    <w:rsid w:val="00477274"/>
    <w:rsid w:val="00481FA7"/>
    <w:rsid w:val="004874AC"/>
    <w:rsid w:val="004970E5"/>
    <w:rsid w:val="00534457"/>
    <w:rsid w:val="00546DBF"/>
    <w:rsid w:val="005964A5"/>
    <w:rsid w:val="005B5CF6"/>
    <w:rsid w:val="005C546C"/>
    <w:rsid w:val="006269CE"/>
    <w:rsid w:val="0063497B"/>
    <w:rsid w:val="0065006B"/>
    <w:rsid w:val="00650921"/>
    <w:rsid w:val="00671853"/>
    <w:rsid w:val="006732C5"/>
    <w:rsid w:val="006802ED"/>
    <w:rsid w:val="006875F1"/>
    <w:rsid w:val="006965FC"/>
    <w:rsid w:val="006A6820"/>
    <w:rsid w:val="006A7EF4"/>
    <w:rsid w:val="006C2117"/>
    <w:rsid w:val="006D0300"/>
    <w:rsid w:val="006D04BC"/>
    <w:rsid w:val="006E1C81"/>
    <w:rsid w:val="006F21B9"/>
    <w:rsid w:val="007016EF"/>
    <w:rsid w:val="007323DE"/>
    <w:rsid w:val="0074452D"/>
    <w:rsid w:val="00763932"/>
    <w:rsid w:val="00772003"/>
    <w:rsid w:val="007778A3"/>
    <w:rsid w:val="00784980"/>
    <w:rsid w:val="00792AC2"/>
    <w:rsid w:val="0079410F"/>
    <w:rsid w:val="007A0B59"/>
    <w:rsid w:val="007A1ADF"/>
    <w:rsid w:val="007A6084"/>
    <w:rsid w:val="007B7110"/>
    <w:rsid w:val="007F1307"/>
    <w:rsid w:val="00811CD1"/>
    <w:rsid w:val="00812D81"/>
    <w:rsid w:val="00813913"/>
    <w:rsid w:val="00847299"/>
    <w:rsid w:val="00860582"/>
    <w:rsid w:val="00881C77"/>
    <w:rsid w:val="00887D7E"/>
    <w:rsid w:val="009023FF"/>
    <w:rsid w:val="00910265"/>
    <w:rsid w:val="0093604B"/>
    <w:rsid w:val="00940DB2"/>
    <w:rsid w:val="00946C4C"/>
    <w:rsid w:val="009539F3"/>
    <w:rsid w:val="009918B9"/>
    <w:rsid w:val="009A1E12"/>
    <w:rsid w:val="009D311B"/>
    <w:rsid w:val="009E0EA3"/>
    <w:rsid w:val="00A072AA"/>
    <w:rsid w:val="00A107AD"/>
    <w:rsid w:val="00A25EF3"/>
    <w:rsid w:val="00A35FCE"/>
    <w:rsid w:val="00A42839"/>
    <w:rsid w:val="00A5647C"/>
    <w:rsid w:val="00A7050D"/>
    <w:rsid w:val="00A8329F"/>
    <w:rsid w:val="00A9607E"/>
    <w:rsid w:val="00AA1F25"/>
    <w:rsid w:val="00AB0C65"/>
    <w:rsid w:val="00AC328B"/>
    <w:rsid w:val="00AC5D63"/>
    <w:rsid w:val="00AF3058"/>
    <w:rsid w:val="00B00E5E"/>
    <w:rsid w:val="00B220A3"/>
    <w:rsid w:val="00B37AC5"/>
    <w:rsid w:val="00B451B6"/>
    <w:rsid w:val="00B52F7E"/>
    <w:rsid w:val="00B62604"/>
    <w:rsid w:val="00B738F6"/>
    <w:rsid w:val="00B77238"/>
    <w:rsid w:val="00B81808"/>
    <w:rsid w:val="00B8300F"/>
    <w:rsid w:val="00B913B5"/>
    <w:rsid w:val="00BA64DB"/>
    <w:rsid w:val="00BD4DF4"/>
    <w:rsid w:val="00BF2574"/>
    <w:rsid w:val="00C14A86"/>
    <w:rsid w:val="00C7347F"/>
    <w:rsid w:val="00C741AA"/>
    <w:rsid w:val="00CA3CFE"/>
    <w:rsid w:val="00CD10D3"/>
    <w:rsid w:val="00CD2B30"/>
    <w:rsid w:val="00CE13FA"/>
    <w:rsid w:val="00CF6407"/>
    <w:rsid w:val="00D10D15"/>
    <w:rsid w:val="00D312B6"/>
    <w:rsid w:val="00D336BB"/>
    <w:rsid w:val="00D53A43"/>
    <w:rsid w:val="00D55827"/>
    <w:rsid w:val="00DB1C32"/>
    <w:rsid w:val="00DD7D7B"/>
    <w:rsid w:val="00DE2EA9"/>
    <w:rsid w:val="00DE4ACB"/>
    <w:rsid w:val="00DE4DCF"/>
    <w:rsid w:val="00DE72F6"/>
    <w:rsid w:val="00DF3E04"/>
    <w:rsid w:val="00DF4F0B"/>
    <w:rsid w:val="00E02749"/>
    <w:rsid w:val="00E501A0"/>
    <w:rsid w:val="00E5484D"/>
    <w:rsid w:val="00E7791D"/>
    <w:rsid w:val="00ED6836"/>
    <w:rsid w:val="00EE7E6E"/>
    <w:rsid w:val="00F221C4"/>
    <w:rsid w:val="00F409C1"/>
    <w:rsid w:val="00F41E1A"/>
    <w:rsid w:val="00F43F6C"/>
    <w:rsid w:val="00F47B15"/>
    <w:rsid w:val="00F505FF"/>
    <w:rsid w:val="00F545EF"/>
    <w:rsid w:val="00F6408C"/>
    <w:rsid w:val="00F65156"/>
    <w:rsid w:val="00F66E1B"/>
    <w:rsid w:val="00F930F6"/>
    <w:rsid w:val="00FA45E3"/>
    <w:rsid w:val="00FB5533"/>
    <w:rsid w:val="00FE0C40"/>
    <w:rsid w:val="00FE12B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esedilo"/>
    <w:qFormat/>
    <w:rsid w:val="00306767"/>
    <w:pPr>
      <w:spacing w:after="0" w:line="250" w:lineRule="atLeast"/>
      <w:jc w:val="both"/>
    </w:pPr>
    <w:rPr>
      <w:rFonts w:ascii="Myriad Pro" w:hAnsi="Myriad Pro"/>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497B"/>
    <w:pPr>
      <w:tabs>
        <w:tab w:val="center" w:pos="4536"/>
        <w:tab w:val="right" w:pos="9072"/>
      </w:tabs>
      <w:spacing w:line="240" w:lineRule="auto"/>
    </w:pPr>
  </w:style>
  <w:style w:type="character" w:customStyle="1" w:styleId="HeaderChar">
    <w:name w:val="Header Char"/>
    <w:basedOn w:val="DefaultParagraphFont"/>
    <w:link w:val="Header"/>
    <w:uiPriority w:val="99"/>
    <w:rsid w:val="0063497B"/>
  </w:style>
  <w:style w:type="paragraph" w:styleId="Footer">
    <w:name w:val="footer"/>
    <w:basedOn w:val="Normal"/>
    <w:link w:val="FooterChar"/>
    <w:uiPriority w:val="99"/>
    <w:unhideWhenUsed/>
    <w:rsid w:val="0063497B"/>
    <w:pPr>
      <w:tabs>
        <w:tab w:val="center" w:pos="4536"/>
        <w:tab w:val="right" w:pos="9072"/>
      </w:tabs>
      <w:spacing w:line="240" w:lineRule="auto"/>
    </w:pPr>
  </w:style>
  <w:style w:type="character" w:customStyle="1" w:styleId="FooterChar">
    <w:name w:val="Footer Char"/>
    <w:basedOn w:val="DefaultParagraphFont"/>
    <w:link w:val="Footer"/>
    <w:uiPriority w:val="99"/>
    <w:rsid w:val="0063497B"/>
  </w:style>
  <w:style w:type="paragraph" w:styleId="NoSpacing">
    <w:name w:val="No Spacing"/>
    <w:uiPriority w:val="1"/>
    <w:qFormat/>
    <w:rsid w:val="00887D7E"/>
    <w:pPr>
      <w:spacing w:after="0" w:line="240" w:lineRule="auto"/>
    </w:pPr>
    <w:rPr>
      <w:rFonts w:ascii="Myriad Pro" w:hAnsi="Myriad Pro"/>
    </w:rPr>
  </w:style>
  <w:style w:type="paragraph" w:customStyle="1" w:styleId="Naslov1">
    <w:name w:val="Naslov 1"/>
    <w:basedOn w:val="Normal"/>
    <w:link w:val="Naslov1Char"/>
    <w:qFormat/>
    <w:rsid w:val="00812D81"/>
    <w:pPr>
      <w:spacing w:line="360" w:lineRule="exact"/>
    </w:pPr>
    <w:rPr>
      <w:b/>
      <w:sz w:val="32"/>
      <w:szCs w:val="36"/>
    </w:rPr>
  </w:style>
  <w:style w:type="paragraph" w:customStyle="1" w:styleId="Naslov2">
    <w:name w:val="Naslov 2"/>
    <w:basedOn w:val="Normal"/>
    <w:link w:val="Naslov2Char"/>
    <w:qFormat/>
    <w:rsid w:val="00812D81"/>
    <w:pPr>
      <w:spacing w:line="360" w:lineRule="exact"/>
    </w:pPr>
    <w:rPr>
      <w:sz w:val="32"/>
      <w:szCs w:val="36"/>
    </w:rPr>
  </w:style>
  <w:style w:type="character" w:customStyle="1" w:styleId="Naslov1Char">
    <w:name w:val="Naslov 1 Char"/>
    <w:basedOn w:val="DefaultParagraphFont"/>
    <w:link w:val="Naslov1"/>
    <w:rsid w:val="00812D81"/>
    <w:rPr>
      <w:rFonts w:ascii="Myriad Pro" w:hAnsi="Myriad Pro"/>
      <w:b/>
      <w:sz w:val="32"/>
      <w:szCs w:val="36"/>
    </w:rPr>
  </w:style>
  <w:style w:type="paragraph" w:customStyle="1" w:styleId="Naslov3">
    <w:name w:val="Naslov 3"/>
    <w:basedOn w:val="Normal"/>
    <w:link w:val="Naslov3Char"/>
    <w:qFormat/>
    <w:rsid w:val="00671853"/>
    <w:rPr>
      <w:b/>
    </w:rPr>
  </w:style>
  <w:style w:type="character" w:customStyle="1" w:styleId="Naslov2Char">
    <w:name w:val="Naslov 2 Char"/>
    <w:basedOn w:val="DefaultParagraphFont"/>
    <w:link w:val="Naslov2"/>
    <w:rsid w:val="00812D81"/>
    <w:rPr>
      <w:rFonts w:ascii="Myriad Pro" w:hAnsi="Myriad Pro"/>
      <w:sz w:val="32"/>
      <w:szCs w:val="36"/>
    </w:rPr>
  </w:style>
  <w:style w:type="paragraph" w:customStyle="1" w:styleId="Dodatneinformacije">
    <w:name w:val="Dodatne informacije"/>
    <w:basedOn w:val="Normal"/>
    <w:link w:val="DodatneinformacijeChar"/>
    <w:qFormat/>
    <w:rsid w:val="00F41E1A"/>
  </w:style>
  <w:style w:type="character" w:customStyle="1" w:styleId="Naslov3Char">
    <w:name w:val="Naslov 3 Char"/>
    <w:basedOn w:val="DefaultParagraphFont"/>
    <w:link w:val="Naslov3"/>
    <w:rsid w:val="00671853"/>
    <w:rPr>
      <w:rFonts w:ascii="Myriad Pro" w:hAnsi="Myriad Pro"/>
      <w:b/>
      <w:sz w:val="21"/>
    </w:rPr>
  </w:style>
  <w:style w:type="paragraph" w:styleId="BalloonText">
    <w:name w:val="Balloon Text"/>
    <w:basedOn w:val="Normal"/>
    <w:link w:val="BalloonTextChar"/>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DefaultParagraphFont"/>
    <w:link w:val="Dodatneinformacije"/>
    <w:rsid w:val="00F41E1A"/>
    <w:rPr>
      <w:rFonts w:ascii="Myriad Pro" w:hAnsi="Myriad Pro"/>
      <w:sz w:val="21"/>
    </w:rPr>
  </w:style>
  <w:style w:type="character" w:customStyle="1" w:styleId="BalloonTextChar">
    <w:name w:val="Balloon Text Char"/>
    <w:basedOn w:val="DefaultParagraphFont"/>
    <w:link w:val="BalloonText"/>
    <w:uiPriority w:val="99"/>
    <w:semiHidden/>
    <w:rsid w:val="00E02749"/>
    <w:rPr>
      <w:rFonts w:ascii="Segoe UI" w:hAnsi="Segoe UI" w:cs="Segoe UI"/>
      <w:sz w:val="18"/>
      <w:szCs w:val="18"/>
    </w:rPr>
  </w:style>
  <w:style w:type="paragraph" w:customStyle="1" w:styleId="Uvod">
    <w:name w:val="Uvod"/>
    <w:basedOn w:val="Naslov3"/>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leGrid">
    <w:name w:val="Table Grid"/>
    <w:basedOn w:val="TableNormal"/>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F4F0B"/>
    <w:pPr>
      <w:ind w:left="720"/>
      <w:contextualSpacing/>
    </w:pPr>
  </w:style>
  <w:style w:type="paragraph" w:customStyle="1" w:styleId="Besedilomanjealineje">
    <w:name w:val="Besedilo manjše_alineje"/>
    <w:basedOn w:val="ListParagraph"/>
    <w:link w:val="BesedilomanjealinejeChar"/>
    <w:rsid w:val="00F545EF"/>
    <w:pPr>
      <w:numPr>
        <w:numId w:val="1"/>
      </w:numPr>
      <w:spacing w:line="220" w:lineRule="exact"/>
      <w:ind w:left="170" w:hanging="170"/>
      <w:jc w:val="left"/>
    </w:pPr>
    <w:rPr>
      <w:sz w:val="16"/>
      <w:szCs w:val="16"/>
    </w:rPr>
  </w:style>
  <w:style w:type="character" w:customStyle="1" w:styleId="ListParagraphChar">
    <w:name w:val="List Paragraph Char"/>
    <w:basedOn w:val="DefaultParagraphFont"/>
    <w:link w:val="ListParagraph"/>
    <w:uiPriority w:val="34"/>
    <w:rsid w:val="00133E20"/>
    <w:rPr>
      <w:rFonts w:ascii="Myriad Pro" w:hAnsi="Myriad Pro"/>
      <w:sz w:val="21"/>
    </w:rPr>
  </w:style>
  <w:style w:type="character" w:customStyle="1" w:styleId="BesedilomanjealinejeChar">
    <w:name w:val="Besedilo manjše_alineje Char"/>
    <w:basedOn w:val="ListParagraphChar"/>
    <w:link w:val="Besedilomanjealineje"/>
    <w:rsid w:val="00F545EF"/>
    <w:rPr>
      <w:rFonts w:ascii="Myriad Pro" w:hAnsi="Myriad Pro"/>
      <w:sz w:val="16"/>
      <w:szCs w:val="16"/>
    </w:rPr>
  </w:style>
  <w:style w:type="paragraph" w:styleId="FootnoteText">
    <w:name w:val="footnote text"/>
    <w:aliases w:val="Char Char,Sprotna opomba-besedilo,Char Char Char Char,Sprotna opomba - besedilo Znak1,Sprotna opomba - besedilo Znak Znak2,Sprotna opomba - besedilo Znak1 Znak Znak1,Sprotna opomba - besedilo Znak1 Znak Znak Znak,fn,Char Ch,o"/>
    <w:basedOn w:val="Normal"/>
    <w:link w:val="FootnoteTextChar"/>
    <w:uiPriority w:val="99"/>
    <w:unhideWhenUsed/>
    <w:qFormat/>
    <w:rsid w:val="006D04BC"/>
    <w:pPr>
      <w:spacing w:line="240" w:lineRule="auto"/>
    </w:pPr>
    <w:rPr>
      <w:sz w:val="16"/>
      <w:szCs w:val="20"/>
    </w:rPr>
  </w:style>
  <w:style w:type="character" w:customStyle="1" w:styleId="FootnoteTextChar">
    <w:name w:val="Footnote Text Char"/>
    <w:aliases w:val="Char Char Char,Sprotna opomba-besedilo Char,Char Char Char Char Char,Sprotna opomba - besedilo Znak1 Char,Sprotna opomba - besedilo Znak Znak2 Char,Sprotna opomba - besedilo Znak1 Znak Znak1 Char,fn Char,Char Ch Char,o Char"/>
    <w:basedOn w:val="DefaultParagraphFont"/>
    <w:link w:val="FootnoteText"/>
    <w:uiPriority w:val="99"/>
    <w:rsid w:val="006D04BC"/>
    <w:rPr>
      <w:rFonts w:ascii="Myriad Pro" w:hAnsi="Myriad Pro"/>
      <w:sz w:val="16"/>
      <w:szCs w:val="20"/>
    </w:rPr>
  </w:style>
  <w:style w:type="character" w:styleId="FootnoteReference">
    <w:name w:val="footnote reference"/>
    <w:aliases w:val="Footnote symbol,Fussnota,Footnote,Footnote reference number,note TESI,SUPERS,EN Footnote Reference,-E Fußnotenzeichen,Times 10 Point,Exposant 3 Point,E...,nota de rodapé,Footnote Reference_LVL6,Footnote Reference_LVL61,Footnot,stylish"/>
    <w:basedOn w:val="DefaultParagraphFont"/>
    <w:uiPriority w:val="99"/>
    <w:unhideWhenUsed/>
    <w:qFormat/>
    <w:rsid w:val="00C741AA"/>
    <w:rPr>
      <w:vertAlign w:val="superscript"/>
    </w:rPr>
  </w:style>
  <w:style w:type="character" w:styleId="CommentReference">
    <w:name w:val="annotation reference"/>
    <w:basedOn w:val="DefaultParagraphFont"/>
    <w:uiPriority w:val="99"/>
    <w:semiHidden/>
    <w:unhideWhenUsed/>
    <w:rsid w:val="006D0300"/>
    <w:rPr>
      <w:sz w:val="16"/>
      <w:szCs w:val="16"/>
    </w:rPr>
  </w:style>
  <w:style w:type="paragraph" w:styleId="CommentText">
    <w:name w:val="annotation text"/>
    <w:basedOn w:val="Normal"/>
    <w:link w:val="CommentTextChar"/>
    <w:uiPriority w:val="99"/>
    <w:semiHidden/>
    <w:unhideWhenUsed/>
    <w:rsid w:val="006D0300"/>
    <w:pPr>
      <w:spacing w:line="240" w:lineRule="auto"/>
    </w:pPr>
    <w:rPr>
      <w:szCs w:val="20"/>
    </w:rPr>
  </w:style>
  <w:style w:type="character" w:customStyle="1" w:styleId="CommentTextChar">
    <w:name w:val="Comment Text Char"/>
    <w:basedOn w:val="DefaultParagraphFont"/>
    <w:link w:val="CommentText"/>
    <w:uiPriority w:val="99"/>
    <w:semiHidden/>
    <w:rsid w:val="006D0300"/>
    <w:rPr>
      <w:rFonts w:ascii="Myriad Pro" w:hAnsi="Myriad Pro"/>
      <w:sz w:val="20"/>
      <w:szCs w:val="20"/>
    </w:rPr>
  </w:style>
  <w:style w:type="paragraph" w:styleId="CommentSubject">
    <w:name w:val="annotation subject"/>
    <w:basedOn w:val="CommentText"/>
    <w:next w:val="CommentText"/>
    <w:link w:val="CommentSubjectChar"/>
    <w:uiPriority w:val="99"/>
    <w:semiHidden/>
    <w:unhideWhenUsed/>
    <w:rsid w:val="006D0300"/>
    <w:rPr>
      <w:b/>
      <w:bCs/>
    </w:rPr>
  </w:style>
  <w:style w:type="character" w:customStyle="1" w:styleId="CommentSubjectChar">
    <w:name w:val="Comment Subject Char"/>
    <w:basedOn w:val="CommentTextChar"/>
    <w:link w:val="CommentSubject"/>
    <w:uiPriority w:val="99"/>
    <w:semiHidden/>
    <w:rsid w:val="006D0300"/>
    <w:rPr>
      <w:rFonts w:ascii="Myriad Pro" w:hAnsi="Myriad Pro"/>
      <w:b/>
      <w:bCs/>
      <w:sz w:val="20"/>
      <w:szCs w:val="20"/>
    </w:rPr>
  </w:style>
  <w:style w:type="character" w:styleId="Hyperlink">
    <w:name w:val="Hyperlink"/>
    <w:basedOn w:val="DefaultParagraphFont"/>
    <w:uiPriority w:val="99"/>
    <w:unhideWhenUsed/>
    <w:rsid w:val="006D04BC"/>
    <w:rPr>
      <w:color w:val="0563C1" w:themeColor="hyperlink"/>
      <w:u w:val="single"/>
    </w:rPr>
  </w:style>
  <w:style w:type="character" w:styleId="UnresolvedMention">
    <w:name w:val="Unresolved Mention"/>
    <w:basedOn w:val="DefaultParagraphFont"/>
    <w:uiPriority w:val="99"/>
    <w:semiHidden/>
    <w:unhideWhenUsed/>
    <w:rsid w:val="006D04BC"/>
    <w:rPr>
      <w:color w:val="605E5C"/>
      <w:shd w:val="clear" w:color="auto" w:fill="E1DFDD"/>
    </w:rPr>
  </w:style>
  <w:style w:type="paragraph" w:customStyle="1" w:styleId="Naslov31">
    <w:name w:val="Naslov 31"/>
    <w:basedOn w:val="Normal"/>
    <w:qFormat/>
    <w:rsid w:val="00D55827"/>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DEAC0C-90DA-4904-8DD8-156BF3065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951</Words>
  <Characters>5425</Characters>
  <Application>Microsoft Office Word</Application>
  <DocSecurity>0</DocSecurity>
  <Lines>45</Lines>
  <Paragraphs>12</Paragraphs>
  <ScaleCrop>false</ScaleCrop>
  <Company/>
  <LinksUpToDate>false</LinksUpToDate>
  <CharactersWithSpaces>6364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2022-01-31T10:59:00Z</dcterms:created>
  <dcterms:modified xsi:type="dcterms:W3CDTF">2022-01-31T10:59:00Z</dcterms:modified>
</cp:coreProperties>
</file>