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694E" w:rsidRPr="0026694E" w:rsidRDefault="0026694E" w:rsidP="0026694E">
      <w:pPr>
        <w:pStyle w:val="Naslov1"/>
      </w:pPr>
      <w:bookmarkStart w:id="0" w:name="_GoBack"/>
      <w:bookmarkEnd w:id="0"/>
      <w:r w:rsidRPr="00763932">
        <w:t>CURRENT ECONOMIC TRENDS</w:t>
      </w:r>
    </w:p>
    <w:p w:rsidR="0026694E" w:rsidRPr="00B913B5" w:rsidRDefault="001B705A" w:rsidP="0026694E">
      <w:pPr>
        <w:rPr>
          <w:sz w:val="32"/>
          <w:szCs w:val="36"/>
        </w:rPr>
      </w:pPr>
      <w:r>
        <w:rPr>
          <w:sz w:val="32"/>
          <w:szCs w:val="36"/>
        </w:rPr>
        <w:t>7</w:t>
      </w:r>
      <w:r w:rsidR="0026694E" w:rsidRPr="00B913B5">
        <w:rPr>
          <w:sz w:val="32"/>
          <w:szCs w:val="36"/>
        </w:rPr>
        <w:t>–</w:t>
      </w:r>
      <w:r>
        <w:rPr>
          <w:sz w:val="32"/>
          <w:szCs w:val="36"/>
        </w:rPr>
        <w:t>11</w:t>
      </w:r>
      <w:r w:rsidR="0026694E" w:rsidRPr="00B913B5">
        <w:rPr>
          <w:sz w:val="32"/>
          <w:szCs w:val="36"/>
        </w:rPr>
        <w:t xml:space="preserve"> </w:t>
      </w:r>
      <w:proofErr w:type="spellStart"/>
      <w:r w:rsidR="00DB79DE">
        <w:rPr>
          <w:sz w:val="32"/>
          <w:szCs w:val="36"/>
        </w:rPr>
        <w:t>February</w:t>
      </w:r>
      <w:proofErr w:type="spellEnd"/>
      <w:r w:rsidR="0026694E" w:rsidRPr="00B913B5">
        <w:rPr>
          <w:sz w:val="32"/>
          <w:szCs w:val="36"/>
        </w:rPr>
        <w:t xml:space="preserve"> 20</w:t>
      </w:r>
      <w:r w:rsidR="00DB79DE">
        <w:rPr>
          <w:sz w:val="32"/>
          <w:szCs w:val="36"/>
        </w:rPr>
        <w:t>22</w:t>
      </w:r>
    </w:p>
    <w:p w:rsidR="00DF4F0B" w:rsidRDefault="00DF4F0B"/>
    <w:p w:rsidR="006D04BC" w:rsidRPr="00187077" w:rsidRDefault="00187077" w:rsidP="006D04BC">
      <w:pPr>
        <w:tabs>
          <w:tab w:val="left" w:pos="580"/>
        </w:tabs>
        <w:rPr>
          <w:lang w:val="en-GB"/>
        </w:rPr>
      </w:pPr>
      <w:bookmarkStart w:id="1" w:name="_Hlk54096721"/>
      <w:r w:rsidRPr="00187077">
        <w:rPr>
          <w:lang w:val="en-GB"/>
        </w:rPr>
        <w:t xml:space="preserve">Following a slowdown in the third quarter of last year, manufacturing production increased significantly, mainly due to strong growth in November. Year-on-year consumer price inflation picked up in January (to 5.8%). Year-on-year inflation continued to be driven mainly by higher energy prices. Stronger growth was also seen in food and services prices. Freight traffic was 9% higher year-on-year in January and turnover based on fiscal verification of invoices was 21% higher at the end of January and beginning of February, partly due to last year's low base. </w:t>
      </w:r>
    </w:p>
    <w:bookmarkEnd w:id="1"/>
    <w:p w:rsidR="00BB76AF" w:rsidRDefault="00BB76AF" w:rsidP="00BB76AF">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1B705A" w:rsidTr="00AD2FC2">
        <w:trPr>
          <w:trHeight w:val="207"/>
        </w:trPr>
        <w:tc>
          <w:tcPr>
            <w:tcW w:w="4819" w:type="dxa"/>
            <w:tcBorders>
              <w:bottom w:val="single" w:sz="4" w:space="0" w:color="auto"/>
            </w:tcBorders>
            <w:tcMar>
              <w:left w:w="0" w:type="dxa"/>
            </w:tcMar>
          </w:tcPr>
          <w:p w:rsidR="001B705A" w:rsidRPr="007A0B59" w:rsidRDefault="00187077" w:rsidP="00AD2FC2">
            <w:pPr>
              <w:pStyle w:val="Naslov3"/>
              <w:jc w:val="left"/>
            </w:pPr>
            <w:r w:rsidRPr="00187077">
              <w:rPr>
                <w:lang w:val="en-GB"/>
              </w:rPr>
              <w:t>Manufacturing, December 2021</w:t>
            </w:r>
          </w:p>
        </w:tc>
        <w:tc>
          <w:tcPr>
            <w:tcW w:w="4820" w:type="dxa"/>
            <w:gridSpan w:val="2"/>
            <w:tcBorders>
              <w:bottom w:val="single" w:sz="4" w:space="0" w:color="auto"/>
            </w:tcBorders>
          </w:tcPr>
          <w:p w:rsidR="001B705A" w:rsidRPr="007A0B59" w:rsidRDefault="001B705A" w:rsidP="00AD2FC2">
            <w:pPr>
              <w:pStyle w:val="Naslov3"/>
            </w:pPr>
          </w:p>
        </w:tc>
      </w:tr>
      <w:tr w:rsidR="001B705A" w:rsidTr="00AD2FC2">
        <w:trPr>
          <w:trHeight w:val="1134"/>
        </w:trPr>
        <w:tc>
          <w:tcPr>
            <w:tcW w:w="4982" w:type="dxa"/>
            <w:gridSpan w:val="2"/>
            <w:tcBorders>
              <w:top w:val="single" w:sz="4" w:space="0" w:color="auto"/>
            </w:tcBorders>
            <w:tcMar>
              <w:left w:w="0" w:type="dxa"/>
            </w:tcMar>
          </w:tcPr>
          <w:p w:rsidR="00187077" w:rsidRDefault="00187077" w:rsidP="00AD2FC2">
            <w:pPr>
              <w:pStyle w:val="ListParagraph"/>
              <w:ind w:left="0"/>
              <w:rPr>
                <w:noProof/>
              </w:rPr>
            </w:pPr>
            <w:r>
              <w:rPr>
                <w:noProof/>
              </w:rPr>
              <w:drawing>
                <wp:inline distT="0" distB="0" distL="0" distR="0" wp14:anchorId="7D97A563">
                  <wp:extent cx="3088800" cy="2448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8800" cy="2448000"/>
                          </a:xfrm>
                          <a:prstGeom prst="rect">
                            <a:avLst/>
                          </a:prstGeom>
                          <a:noFill/>
                        </pic:spPr>
                      </pic:pic>
                    </a:graphicData>
                  </a:graphic>
                </wp:inline>
              </w:drawing>
            </w:r>
          </w:p>
          <w:p w:rsidR="00187077" w:rsidRDefault="00187077" w:rsidP="00AD2FC2">
            <w:pPr>
              <w:pStyle w:val="ListParagraph"/>
              <w:ind w:left="0"/>
            </w:pPr>
          </w:p>
          <w:p w:rsidR="00187077" w:rsidRDefault="00187077" w:rsidP="00AD2FC2">
            <w:pPr>
              <w:pStyle w:val="ListParagraph"/>
              <w:ind w:left="0"/>
            </w:pPr>
          </w:p>
          <w:p w:rsidR="00187077" w:rsidRDefault="00187077" w:rsidP="00AD2FC2">
            <w:pPr>
              <w:pStyle w:val="ListParagraph"/>
              <w:ind w:left="0"/>
            </w:pPr>
          </w:p>
          <w:p w:rsidR="001B705A" w:rsidRDefault="001B705A" w:rsidP="00AD2FC2">
            <w:pPr>
              <w:pStyle w:val="ListParagraph"/>
              <w:ind w:left="0"/>
            </w:pPr>
          </w:p>
        </w:tc>
        <w:tc>
          <w:tcPr>
            <w:tcW w:w="4657" w:type="dxa"/>
            <w:tcBorders>
              <w:top w:val="single" w:sz="4" w:space="0" w:color="auto"/>
            </w:tcBorders>
            <w:tcMar>
              <w:left w:w="284" w:type="dxa"/>
            </w:tcMar>
          </w:tcPr>
          <w:p w:rsidR="00187077" w:rsidRPr="00187077" w:rsidRDefault="00187077" w:rsidP="00187077">
            <w:pPr>
              <w:rPr>
                <w:lang w:val="en-GB"/>
              </w:rPr>
            </w:pPr>
            <w:r w:rsidRPr="00187077">
              <w:rPr>
                <w:b/>
                <w:lang w:val="en-GB"/>
              </w:rPr>
              <w:t xml:space="preserve">Following a slowdown in the third quarter, manufacturing production increased significantly again in the last quarter of 2021. </w:t>
            </w:r>
            <w:r w:rsidRPr="00187077">
              <w:rPr>
                <w:lang w:val="en-GB"/>
              </w:rPr>
              <w:t xml:space="preserve">The increase was mainly driven by strong growth in November. Compared to the previous quarter, activity in high- and medium-high technology industries increased the most, while growth in medium-low technology industries was slightly negative. The increase in production volume in </w:t>
            </w:r>
            <w:proofErr w:type="gramStart"/>
            <w:r w:rsidRPr="00187077">
              <w:rPr>
                <w:lang w:val="en-GB"/>
              </w:rPr>
              <w:t>manufacturing  was</w:t>
            </w:r>
            <w:proofErr w:type="gramEnd"/>
            <w:r w:rsidRPr="00187077">
              <w:rPr>
                <w:lang w:val="en-GB"/>
              </w:rPr>
              <w:t xml:space="preserve"> again quite high</w:t>
            </w:r>
            <w:r w:rsidRPr="00187077" w:rsidDel="000C3423">
              <w:rPr>
                <w:lang w:val="en-GB"/>
              </w:rPr>
              <w:t xml:space="preserve"> </w:t>
            </w:r>
            <w:r w:rsidRPr="00187077">
              <w:rPr>
                <w:lang w:val="en-GB"/>
              </w:rPr>
              <w:t>in the last quarter of 2021 compared to the same period in 2020. This was mainly due to high year-on-year growth in high- and low-technology industries. Solid year-on-year growth was also observed in medium-high and medium-low technology industries, despite the negative impact of the downturn in the automotive industry, which is still characterised by large-scale semiconductor supply problems.</w:t>
            </w:r>
          </w:p>
          <w:p w:rsidR="001B705A" w:rsidRPr="00187077" w:rsidRDefault="001B705A" w:rsidP="00AD2FC2">
            <w:pPr>
              <w:rPr>
                <w:lang w:val="en-GB"/>
              </w:rPr>
            </w:pPr>
          </w:p>
        </w:tc>
      </w:tr>
    </w:tbl>
    <w:p w:rsidR="001B705A" w:rsidRDefault="001B705A" w:rsidP="001B705A">
      <w:pPr>
        <w:tabs>
          <w:tab w:val="left" w:pos="580"/>
        </w:tabs>
      </w:pPr>
    </w:p>
    <w:p w:rsidR="001B705A" w:rsidRDefault="001B705A" w:rsidP="001B705A">
      <w:pPr>
        <w:tabs>
          <w:tab w:val="left" w:pos="580"/>
        </w:tabs>
      </w:pPr>
    </w:p>
    <w:p w:rsidR="001B705A" w:rsidRDefault="001B705A" w:rsidP="001B705A">
      <w:pPr>
        <w:tabs>
          <w:tab w:val="left" w:pos="580"/>
        </w:tabs>
      </w:pPr>
    </w:p>
    <w:p w:rsidR="00187077" w:rsidRDefault="00187077" w:rsidP="001B705A">
      <w:pPr>
        <w:tabs>
          <w:tab w:val="left" w:pos="580"/>
        </w:tabs>
      </w:pPr>
    </w:p>
    <w:p w:rsidR="00187077" w:rsidRDefault="00187077" w:rsidP="001B705A">
      <w:pPr>
        <w:tabs>
          <w:tab w:val="left" w:pos="580"/>
        </w:tabs>
      </w:pPr>
    </w:p>
    <w:p w:rsidR="00187077" w:rsidRDefault="00187077" w:rsidP="001B705A">
      <w:pPr>
        <w:tabs>
          <w:tab w:val="left" w:pos="580"/>
        </w:tabs>
      </w:pPr>
    </w:p>
    <w:p w:rsidR="00187077" w:rsidRDefault="00187077" w:rsidP="001B705A">
      <w:pPr>
        <w:tabs>
          <w:tab w:val="left" w:pos="580"/>
        </w:tabs>
      </w:pPr>
    </w:p>
    <w:p w:rsidR="00187077" w:rsidRDefault="00187077" w:rsidP="001B705A">
      <w:pPr>
        <w:tabs>
          <w:tab w:val="left" w:pos="580"/>
        </w:tabs>
      </w:pPr>
    </w:p>
    <w:p w:rsidR="00187077" w:rsidRDefault="00187077" w:rsidP="001B705A">
      <w:pPr>
        <w:tabs>
          <w:tab w:val="left" w:pos="580"/>
        </w:tabs>
      </w:pPr>
    </w:p>
    <w:p w:rsidR="00187077" w:rsidRDefault="00187077" w:rsidP="001B705A">
      <w:pPr>
        <w:tabs>
          <w:tab w:val="left" w:pos="580"/>
        </w:tabs>
      </w:pPr>
    </w:p>
    <w:p w:rsidR="00187077" w:rsidRDefault="00187077" w:rsidP="001B705A">
      <w:pPr>
        <w:tabs>
          <w:tab w:val="left" w:pos="580"/>
        </w:tabs>
      </w:pPr>
    </w:p>
    <w:p w:rsidR="00187077" w:rsidRDefault="00187077" w:rsidP="001B705A">
      <w:pPr>
        <w:tabs>
          <w:tab w:val="left" w:pos="580"/>
        </w:tabs>
      </w:pPr>
    </w:p>
    <w:p w:rsidR="00187077" w:rsidRDefault="00187077" w:rsidP="001B705A">
      <w:pPr>
        <w:tabs>
          <w:tab w:val="left" w:pos="580"/>
        </w:tabs>
      </w:pPr>
    </w:p>
    <w:p w:rsidR="00187077" w:rsidRDefault="00187077" w:rsidP="001B705A">
      <w:pPr>
        <w:tabs>
          <w:tab w:val="left" w:pos="580"/>
        </w:tabs>
      </w:pPr>
    </w:p>
    <w:p w:rsidR="00187077" w:rsidRDefault="00187077" w:rsidP="001B705A">
      <w:pPr>
        <w:tabs>
          <w:tab w:val="left" w:pos="580"/>
        </w:tabs>
      </w:pPr>
    </w:p>
    <w:p w:rsidR="00187077" w:rsidRDefault="00187077" w:rsidP="001B705A">
      <w:pPr>
        <w:tabs>
          <w:tab w:val="left" w:pos="580"/>
        </w:tabs>
      </w:pPr>
    </w:p>
    <w:p w:rsidR="00187077" w:rsidRDefault="00187077" w:rsidP="001B705A">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1B705A" w:rsidTr="00AD2FC2">
        <w:trPr>
          <w:trHeight w:val="207"/>
        </w:trPr>
        <w:tc>
          <w:tcPr>
            <w:tcW w:w="4819" w:type="dxa"/>
            <w:tcBorders>
              <w:bottom w:val="single" w:sz="4" w:space="0" w:color="auto"/>
            </w:tcBorders>
            <w:tcMar>
              <w:left w:w="0" w:type="dxa"/>
            </w:tcMar>
          </w:tcPr>
          <w:p w:rsidR="001B705A" w:rsidRPr="007A0B59" w:rsidRDefault="00187077" w:rsidP="00AD2FC2">
            <w:pPr>
              <w:pStyle w:val="Naslov3"/>
              <w:jc w:val="left"/>
            </w:pPr>
            <w:r w:rsidRPr="00187077">
              <w:rPr>
                <w:lang w:val="en-GB"/>
              </w:rPr>
              <w:lastRenderedPageBreak/>
              <w:t>Inflation, January 2022</w:t>
            </w:r>
          </w:p>
        </w:tc>
        <w:tc>
          <w:tcPr>
            <w:tcW w:w="4820" w:type="dxa"/>
            <w:gridSpan w:val="2"/>
            <w:tcBorders>
              <w:bottom w:val="single" w:sz="4" w:space="0" w:color="auto"/>
            </w:tcBorders>
          </w:tcPr>
          <w:p w:rsidR="001B705A" w:rsidRPr="007A0B59" w:rsidRDefault="001B705A" w:rsidP="00AD2FC2">
            <w:pPr>
              <w:pStyle w:val="Naslov3"/>
            </w:pPr>
          </w:p>
        </w:tc>
      </w:tr>
      <w:tr w:rsidR="001B705A" w:rsidTr="00AD2FC2">
        <w:trPr>
          <w:trHeight w:val="1134"/>
        </w:trPr>
        <w:tc>
          <w:tcPr>
            <w:tcW w:w="4982" w:type="dxa"/>
            <w:gridSpan w:val="2"/>
            <w:tcBorders>
              <w:top w:val="single" w:sz="4" w:space="0" w:color="auto"/>
            </w:tcBorders>
            <w:tcMar>
              <w:left w:w="0" w:type="dxa"/>
            </w:tcMar>
          </w:tcPr>
          <w:p w:rsidR="001B705A" w:rsidRDefault="00C6130F" w:rsidP="00AD2FC2">
            <w:pPr>
              <w:pStyle w:val="ListParagraph"/>
              <w:ind w:left="0"/>
            </w:pPr>
            <w:r>
              <w:rPr>
                <w:noProof/>
              </w:rPr>
              <w:drawing>
                <wp:inline distT="0" distB="0" distL="0" distR="0" wp14:anchorId="4E9E6BA7">
                  <wp:extent cx="3178800" cy="2606400"/>
                  <wp:effectExtent l="0" t="0" r="317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8800" cy="2606400"/>
                          </a:xfrm>
                          <a:prstGeom prst="rect">
                            <a:avLst/>
                          </a:prstGeom>
                          <a:noFill/>
                        </pic:spPr>
                      </pic:pic>
                    </a:graphicData>
                  </a:graphic>
                </wp:inline>
              </w:drawing>
            </w:r>
          </w:p>
        </w:tc>
        <w:tc>
          <w:tcPr>
            <w:tcW w:w="4657" w:type="dxa"/>
            <w:tcBorders>
              <w:top w:val="single" w:sz="4" w:space="0" w:color="auto"/>
            </w:tcBorders>
            <w:tcMar>
              <w:left w:w="284" w:type="dxa"/>
            </w:tcMar>
          </w:tcPr>
          <w:p w:rsidR="00187077" w:rsidRPr="00187077" w:rsidRDefault="00187077" w:rsidP="00187077">
            <w:pPr>
              <w:rPr>
                <w:lang w:val="en-GB"/>
              </w:rPr>
            </w:pPr>
            <w:r w:rsidRPr="00187077">
              <w:rPr>
                <w:b/>
                <w:lang w:val="en-GB"/>
              </w:rPr>
              <w:t xml:space="preserve">Due to higher prices of energy, food and services, consumer prices rose significantly year-on-year in January, reaching 5.8%, the highest level since August 2008. </w:t>
            </w:r>
            <w:r w:rsidRPr="00187077">
              <w:rPr>
                <w:lang w:val="en-GB"/>
              </w:rPr>
              <w:t>Year-on-year inflation continued to be driven mainly (2.2 p.p.) by higher energy prices. In January, a significant month-on-month increase was observed for gas prices (by more than a quarter), and prices for petroleum products and electricity were also higher. Higher energy and commodity prices, as well as ongoing bottlenecks, are also affecting the rise in non-energy industrial goods prices, especially of non-durable goods, which were already 8.2% higher year-on-year, as prices for vehicles and furniture continued to rise. Prices of semi-durable consumer goods fluctuated significantly year-on-year, reflecting slightly different seasonal developments in the prices of clothing and footwear, which were 2.7% higher in January. Prices in the food and non-alcoholic beverages group continued to rise, increasing by 4.6% year-on-year. Service price growth is also picking up and was above 3% year-on-year in January for the first time since the outbreak of the epidemic. In our view, inflation was mainly driven by services in the culture and recreation and accommodation and food services groups.</w:t>
            </w:r>
          </w:p>
          <w:p w:rsidR="001B705A" w:rsidRPr="00187077" w:rsidRDefault="001B705A" w:rsidP="00AD2FC2">
            <w:pPr>
              <w:rPr>
                <w:lang w:val="en-GB"/>
              </w:rPr>
            </w:pPr>
          </w:p>
        </w:tc>
      </w:tr>
    </w:tbl>
    <w:p w:rsidR="001B705A" w:rsidRDefault="001B705A" w:rsidP="001B705A">
      <w:pPr>
        <w:tabs>
          <w:tab w:val="left" w:pos="580"/>
        </w:tabs>
      </w:pPr>
    </w:p>
    <w:p w:rsidR="000547BF" w:rsidRDefault="000547BF" w:rsidP="001B705A">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3523"/>
        <w:gridCol w:w="1134"/>
      </w:tblGrid>
      <w:tr w:rsidR="001B705A" w:rsidTr="00044BD4">
        <w:trPr>
          <w:trHeight w:val="207"/>
        </w:trPr>
        <w:tc>
          <w:tcPr>
            <w:tcW w:w="8505" w:type="dxa"/>
            <w:gridSpan w:val="2"/>
            <w:tcBorders>
              <w:bottom w:val="single" w:sz="4" w:space="0" w:color="auto"/>
            </w:tcBorders>
            <w:tcMar>
              <w:left w:w="0" w:type="dxa"/>
            </w:tcMar>
          </w:tcPr>
          <w:p w:rsidR="001B705A" w:rsidRPr="007A0B59" w:rsidRDefault="00187077" w:rsidP="00AD2FC2">
            <w:pPr>
              <w:pStyle w:val="Naslov3"/>
              <w:jc w:val="left"/>
            </w:pPr>
            <w:r w:rsidRPr="00187077">
              <w:rPr>
                <w:lang w:val="en-GB"/>
              </w:rPr>
              <w:t>Traffic of electronically tolled vehicles on Slovenian motorways, January 2022</w:t>
            </w:r>
          </w:p>
        </w:tc>
        <w:tc>
          <w:tcPr>
            <w:tcW w:w="1134" w:type="dxa"/>
            <w:tcBorders>
              <w:bottom w:val="single" w:sz="4" w:space="0" w:color="auto"/>
            </w:tcBorders>
          </w:tcPr>
          <w:p w:rsidR="001B705A" w:rsidRPr="007A0B59" w:rsidRDefault="001B705A" w:rsidP="00AD2FC2">
            <w:pPr>
              <w:pStyle w:val="Naslov3"/>
            </w:pPr>
          </w:p>
        </w:tc>
      </w:tr>
      <w:tr w:rsidR="001B705A" w:rsidTr="00AD2FC2">
        <w:trPr>
          <w:trHeight w:val="1134"/>
        </w:trPr>
        <w:tc>
          <w:tcPr>
            <w:tcW w:w="4982" w:type="dxa"/>
            <w:tcBorders>
              <w:top w:val="single" w:sz="4" w:space="0" w:color="auto"/>
            </w:tcBorders>
            <w:tcMar>
              <w:left w:w="0" w:type="dxa"/>
            </w:tcMar>
          </w:tcPr>
          <w:p w:rsidR="001B705A" w:rsidRDefault="000547BF" w:rsidP="00AD2FC2">
            <w:pPr>
              <w:pStyle w:val="ListParagraph"/>
              <w:ind w:left="0"/>
            </w:pPr>
            <w:r>
              <w:rPr>
                <w:noProof/>
              </w:rPr>
              <w:drawing>
                <wp:inline distT="0" distB="0" distL="0" distR="0" wp14:anchorId="7AE652CC">
                  <wp:extent cx="3092400" cy="255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2400" cy="2559600"/>
                          </a:xfrm>
                          <a:prstGeom prst="rect">
                            <a:avLst/>
                          </a:prstGeom>
                          <a:noFill/>
                        </pic:spPr>
                      </pic:pic>
                    </a:graphicData>
                  </a:graphic>
                </wp:inline>
              </w:drawing>
            </w:r>
          </w:p>
        </w:tc>
        <w:tc>
          <w:tcPr>
            <w:tcW w:w="4657" w:type="dxa"/>
            <w:gridSpan w:val="2"/>
            <w:tcBorders>
              <w:top w:val="single" w:sz="4" w:space="0" w:color="auto"/>
            </w:tcBorders>
            <w:tcMar>
              <w:left w:w="284" w:type="dxa"/>
            </w:tcMar>
          </w:tcPr>
          <w:p w:rsidR="00187077" w:rsidRPr="00187077" w:rsidRDefault="00187077" w:rsidP="00187077">
            <w:pPr>
              <w:rPr>
                <w:lang w:val="en-GB"/>
              </w:rPr>
            </w:pPr>
            <w:r w:rsidRPr="00187077">
              <w:rPr>
                <w:b/>
                <w:lang w:val="en-GB"/>
              </w:rPr>
              <w:t xml:space="preserve">In January, freight traffic volumes on Slovenian motorways increased by 9% year-on-year. </w:t>
            </w:r>
            <w:r w:rsidRPr="00187077">
              <w:rPr>
                <w:lang w:val="en-GB"/>
              </w:rPr>
              <w:t>The year-on-year increase is due to an additional working day, rather than the impact of a lower base due to the second wave of the epidemic last year. Freight traffic volumes increased by 2% compared to January 2019, which had the same number of working days, and were the same as in January 2020 before the epidemic. The share of foreign vehicle traffic was 61% this January, the same level as the same month in the previous three years.  January is otherwise one of the three months (along with August and December) with the lowest traffic volumes due to holidays and weather conditions.</w:t>
            </w:r>
          </w:p>
          <w:p w:rsidR="001B705A" w:rsidRPr="00187077" w:rsidRDefault="001B705A" w:rsidP="00AD2FC2">
            <w:pPr>
              <w:rPr>
                <w:lang w:val="en-GB"/>
              </w:rPr>
            </w:pPr>
          </w:p>
        </w:tc>
      </w:tr>
    </w:tbl>
    <w:p w:rsidR="001B705A" w:rsidRDefault="001B705A" w:rsidP="001B705A">
      <w:pPr>
        <w:tabs>
          <w:tab w:val="left" w:pos="580"/>
        </w:tabs>
      </w:pPr>
    </w:p>
    <w:p w:rsidR="001B705A" w:rsidRDefault="001B705A" w:rsidP="001B705A">
      <w:pPr>
        <w:tabs>
          <w:tab w:val="left" w:pos="580"/>
        </w:tabs>
      </w:pPr>
    </w:p>
    <w:p w:rsidR="001B705A" w:rsidRDefault="001B705A" w:rsidP="001B705A">
      <w:pPr>
        <w:tabs>
          <w:tab w:val="left" w:pos="580"/>
        </w:tabs>
      </w:pPr>
    </w:p>
    <w:p w:rsidR="001B705A" w:rsidRDefault="001B705A" w:rsidP="001B705A">
      <w:pPr>
        <w:tabs>
          <w:tab w:val="left" w:pos="580"/>
        </w:tabs>
      </w:pPr>
    </w:p>
    <w:p w:rsidR="001B705A" w:rsidRDefault="001B705A" w:rsidP="001B705A">
      <w:pPr>
        <w:tabs>
          <w:tab w:val="left" w:pos="580"/>
        </w:tabs>
      </w:pPr>
    </w:p>
    <w:p w:rsidR="001B705A" w:rsidRDefault="001B705A" w:rsidP="001B705A">
      <w:pPr>
        <w:tabs>
          <w:tab w:val="left" w:pos="580"/>
        </w:tabs>
      </w:pPr>
    </w:p>
    <w:p w:rsidR="001B705A" w:rsidRDefault="001B705A" w:rsidP="001B705A">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2956"/>
        <w:gridCol w:w="1701"/>
      </w:tblGrid>
      <w:tr w:rsidR="001B705A" w:rsidRPr="006C2117" w:rsidTr="00044BD4">
        <w:trPr>
          <w:trHeight w:val="207"/>
        </w:trPr>
        <w:tc>
          <w:tcPr>
            <w:tcW w:w="7938" w:type="dxa"/>
            <w:gridSpan w:val="2"/>
            <w:tcBorders>
              <w:bottom w:val="single" w:sz="4" w:space="0" w:color="auto"/>
            </w:tcBorders>
            <w:tcMar>
              <w:left w:w="0" w:type="dxa"/>
            </w:tcMar>
          </w:tcPr>
          <w:p w:rsidR="001B705A" w:rsidRPr="006C2117" w:rsidRDefault="00187077" w:rsidP="00AD2FC2">
            <w:pPr>
              <w:pStyle w:val="Naslov3"/>
              <w:jc w:val="left"/>
            </w:pPr>
            <w:r w:rsidRPr="00187077">
              <w:rPr>
                <w:lang w:val="en-GB"/>
              </w:rPr>
              <w:lastRenderedPageBreak/>
              <w:t>Turnover based on fiscal verification of invoices, 23 January–5 February 2022</w:t>
            </w:r>
          </w:p>
        </w:tc>
        <w:tc>
          <w:tcPr>
            <w:tcW w:w="1701" w:type="dxa"/>
            <w:tcBorders>
              <w:bottom w:val="single" w:sz="4" w:space="0" w:color="auto"/>
            </w:tcBorders>
          </w:tcPr>
          <w:p w:rsidR="001B705A" w:rsidRPr="006C2117" w:rsidRDefault="001B705A" w:rsidP="00AD2FC2">
            <w:pPr>
              <w:pStyle w:val="Naslov3"/>
            </w:pPr>
          </w:p>
        </w:tc>
      </w:tr>
      <w:tr w:rsidR="001B705A" w:rsidRPr="00DF4F0B" w:rsidTr="00AD2FC2">
        <w:trPr>
          <w:trHeight w:val="1134"/>
        </w:trPr>
        <w:tc>
          <w:tcPr>
            <w:tcW w:w="4982" w:type="dxa"/>
            <w:tcBorders>
              <w:top w:val="single" w:sz="4" w:space="0" w:color="auto"/>
            </w:tcBorders>
            <w:tcMar>
              <w:left w:w="0" w:type="dxa"/>
            </w:tcMar>
          </w:tcPr>
          <w:p w:rsidR="001B705A" w:rsidRDefault="005A2CA9" w:rsidP="00AD2FC2">
            <w:pPr>
              <w:pStyle w:val="ListParagraph"/>
              <w:ind w:left="0"/>
            </w:pPr>
            <w:r>
              <w:rPr>
                <w:noProof/>
              </w:rPr>
              <w:drawing>
                <wp:inline distT="0" distB="0" distL="0" distR="0" wp14:anchorId="3C97AB3C">
                  <wp:extent cx="3088800" cy="244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8800" cy="2448000"/>
                          </a:xfrm>
                          <a:prstGeom prst="rect">
                            <a:avLst/>
                          </a:prstGeom>
                          <a:noFill/>
                        </pic:spPr>
                      </pic:pic>
                    </a:graphicData>
                  </a:graphic>
                </wp:inline>
              </w:drawing>
            </w:r>
          </w:p>
        </w:tc>
        <w:tc>
          <w:tcPr>
            <w:tcW w:w="4657" w:type="dxa"/>
            <w:gridSpan w:val="2"/>
            <w:tcBorders>
              <w:top w:val="single" w:sz="4" w:space="0" w:color="auto"/>
            </w:tcBorders>
            <w:tcMar>
              <w:left w:w="284" w:type="dxa"/>
            </w:tcMar>
          </w:tcPr>
          <w:p w:rsidR="001B705A" w:rsidRPr="00DF4F0B" w:rsidRDefault="00187077" w:rsidP="00AD2FC2">
            <w:r w:rsidRPr="00187077">
              <w:rPr>
                <w:b/>
                <w:bCs/>
                <w:lang w:val="en-GB"/>
              </w:rPr>
              <w:t>According to data on fiscal verification of invoices, total turnover between 23 January and 5 February 2022 was 21% higher year-on-year and 6% lower than in the same period of 2020.</w:t>
            </w:r>
            <w:r w:rsidRPr="00187077">
              <w:rPr>
                <w:b/>
                <w:lang w:val="en-GB"/>
              </w:rPr>
              <w:t xml:space="preserve"> </w:t>
            </w:r>
            <w:r w:rsidRPr="00187077">
              <w:rPr>
                <w:lang w:val="en-GB"/>
              </w:rPr>
              <w:t>Year-on-year growth remained similar to the previous two weeks. Turnover in trade, which accounted for 81% of all turnover, was 14% higher. It remained much higher year-on-year in the activities that were still almost completely shut down in this period of 2021 – mainly in tourism-related services. Total turnover was 6% lower than in the same period of 2020, mainly due to lower turnover in the sale of motor vehicles and in tourism-related services.</w:t>
            </w:r>
          </w:p>
        </w:tc>
      </w:tr>
    </w:tbl>
    <w:p w:rsidR="00BB76AF" w:rsidRDefault="00BB76AF" w:rsidP="00BB76AF">
      <w:pPr>
        <w:tabs>
          <w:tab w:val="left" w:pos="580"/>
        </w:tabs>
      </w:pPr>
    </w:p>
    <w:p w:rsidR="00BB76AF" w:rsidRDefault="00BB76AF" w:rsidP="00BB76AF">
      <w:pPr>
        <w:tabs>
          <w:tab w:val="left" w:pos="580"/>
        </w:tabs>
      </w:pPr>
    </w:p>
    <w:p w:rsidR="00BB76AF" w:rsidRDefault="00BB76AF" w:rsidP="00BB76AF">
      <w:pPr>
        <w:tabs>
          <w:tab w:val="left" w:pos="580"/>
        </w:tabs>
      </w:pPr>
    </w:p>
    <w:p w:rsidR="00BB76AF" w:rsidRDefault="00BB76AF" w:rsidP="00BB76AF">
      <w:pPr>
        <w:tabs>
          <w:tab w:val="left" w:pos="580"/>
        </w:tabs>
      </w:pPr>
    </w:p>
    <w:p w:rsidR="00BB76AF" w:rsidRDefault="00BB76AF" w:rsidP="006D04BC">
      <w:pPr>
        <w:tabs>
          <w:tab w:val="left" w:pos="580"/>
        </w:tabs>
      </w:pPr>
    </w:p>
    <w:p w:rsidR="00BB76AF" w:rsidRDefault="00BB76AF" w:rsidP="006D04BC">
      <w:pPr>
        <w:tabs>
          <w:tab w:val="left" w:pos="580"/>
        </w:tabs>
      </w:pPr>
    </w:p>
    <w:p w:rsidR="00BB76AF" w:rsidRDefault="00BB76AF" w:rsidP="006D04BC">
      <w:pPr>
        <w:tabs>
          <w:tab w:val="left" w:pos="580"/>
        </w:tabs>
      </w:pPr>
    </w:p>
    <w:p w:rsidR="00BB76AF" w:rsidRDefault="00BB76AF" w:rsidP="006D04BC">
      <w:pPr>
        <w:tabs>
          <w:tab w:val="left" w:pos="580"/>
        </w:tabs>
      </w:pPr>
    </w:p>
    <w:p w:rsidR="00BB76AF" w:rsidRDefault="00BB76AF" w:rsidP="006D04BC">
      <w:pPr>
        <w:tabs>
          <w:tab w:val="left" w:pos="580"/>
        </w:tabs>
      </w:pPr>
    </w:p>
    <w:p w:rsidR="001A31EE" w:rsidRDefault="001A31EE" w:rsidP="006D04BC">
      <w:pPr>
        <w:sectPr w:rsidR="001A31EE" w:rsidSect="006D04BC">
          <w:footerReference w:type="default" r:id="rId12"/>
          <w:headerReference w:type="first" r:id="rId13"/>
          <w:footerReference w:type="first" r:id="rId14"/>
          <w:type w:val="continuous"/>
          <w:pgSz w:w="11906" w:h="16838"/>
          <w:pgMar w:top="1134" w:right="1134" w:bottom="1021" w:left="1134" w:header="709" w:footer="397" w:gutter="0"/>
          <w:cols w:space="708"/>
          <w:titlePg/>
          <w:docGrid w:linePitch="360"/>
        </w:sectPr>
      </w:pPr>
    </w:p>
    <w:p w:rsidR="006D04BC" w:rsidRDefault="00A2026E" w:rsidP="006D04BC">
      <w:r w:rsidRPr="00A2026E">
        <w:rPr>
          <w:noProof/>
        </w:rPr>
        <w:lastRenderedPageBreak/>
        <w:drawing>
          <wp:inline distT="0" distB="0" distL="0" distR="0">
            <wp:extent cx="6120130" cy="83881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8388103"/>
                    </a:xfrm>
                    <a:prstGeom prst="rect">
                      <a:avLst/>
                    </a:prstGeom>
                    <a:noFill/>
                    <a:ln>
                      <a:noFill/>
                    </a:ln>
                  </pic:spPr>
                </pic:pic>
              </a:graphicData>
            </a:graphic>
          </wp:inline>
        </w:drawing>
      </w:r>
    </w:p>
    <w:p w:rsidR="00784980" w:rsidRPr="00887D7E" w:rsidRDefault="00784980" w:rsidP="001F51CD">
      <w:pPr>
        <w:tabs>
          <w:tab w:val="left" w:pos="580"/>
        </w:tabs>
      </w:pPr>
    </w:p>
    <w:sectPr w:rsidR="00784980" w:rsidRPr="00887D7E" w:rsidSect="001A31EE">
      <w:headerReference w:type="default" r:id="rId16"/>
      <w:footerReference w:type="default" r:id="rId17"/>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23D3" w:rsidRDefault="00B823D3" w:rsidP="0063497B">
      <w:pPr>
        <w:spacing w:line="240" w:lineRule="auto"/>
      </w:pPr>
      <w:r>
        <w:separator/>
      </w:r>
    </w:p>
  </w:endnote>
  <w:endnote w:type="continuationSeparator" w:id="0">
    <w:p w:rsidR="00B823D3" w:rsidRDefault="00B823D3"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932" w:rsidRPr="006D04BC" w:rsidRDefault="00F6408C" w:rsidP="001A31EE">
    <w:pPr>
      <w:pStyle w:val="Naslov3"/>
      <w:tabs>
        <w:tab w:val="left" w:pos="7980"/>
        <w:tab w:val="right" w:pos="9638"/>
      </w:tabs>
      <w:jc w:val="left"/>
      <w:rPr>
        <w:b w:val="0"/>
        <w:sz w:val="18"/>
        <w:szCs w:val="18"/>
      </w:rPr>
    </w:pPr>
    <w:r w:rsidRPr="00F6408C">
      <w:rPr>
        <w:sz w:val="18"/>
        <w:szCs w:val="18"/>
      </w:rPr>
      <w:t xml:space="preserve">More </w:t>
    </w:r>
    <w:proofErr w:type="spellStart"/>
    <w:r w:rsidRPr="00F6408C">
      <w:rPr>
        <w:sz w:val="18"/>
        <w:szCs w:val="18"/>
      </w:rPr>
      <w:t>information</w:t>
    </w:r>
    <w:proofErr w:type="spellEnd"/>
    <w:r w:rsidR="00D55827" w:rsidRPr="000A4980">
      <w:rPr>
        <w:sz w:val="18"/>
        <w:szCs w:val="18"/>
      </w:rPr>
      <w:t>:</w:t>
    </w:r>
    <w:r w:rsidR="00D55827" w:rsidRPr="000A4980">
      <w:rPr>
        <w:rStyle w:val="Naslov3Char"/>
        <w:b/>
        <w:sz w:val="18"/>
        <w:szCs w:val="18"/>
      </w:rPr>
      <w:t xml:space="preserve"> </w:t>
    </w:r>
    <w:proofErr w:type="spellStart"/>
    <w:r w:rsidR="00D55827" w:rsidRPr="000A4980">
      <w:rPr>
        <w:b w:val="0"/>
        <w:sz w:val="18"/>
      </w:rPr>
      <w:t>phone</w:t>
    </w:r>
    <w:proofErr w:type="spellEnd"/>
    <w:r w:rsidR="00D55827" w:rsidRPr="000A4980">
      <w:rPr>
        <w:b w:val="0"/>
        <w:sz w:val="18"/>
      </w:rPr>
      <w:t xml:space="preserve">: +386 1 478 10 04, e-mail: </w:t>
    </w:r>
    <w:hyperlink r:id="rId1" w:history="1">
      <w:r w:rsidR="00D55827" w:rsidRPr="000A4980">
        <w:rPr>
          <w:rStyle w:val="Hyperlink"/>
          <w:b w:val="0"/>
          <w:color w:val="auto"/>
          <w:sz w:val="18"/>
          <w:u w:val="none"/>
        </w:rPr>
        <w:t>polona.osrajnik@gov.si</w:t>
      </w:r>
    </w:hyperlink>
    <w:r w:rsidR="006D04BC">
      <w:rPr>
        <w:sz w:val="18"/>
        <w:szCs w:val="18"/>
      </w:rPr>
      <w:tab/>
    </w:r>
    <w:r w:rsidR="001A31EE">
      <w:rPr>
        <w:sz w:val="18"/>
        <w:szCs w:val="18"/>
      </w:rPr>
      <w:tab/>
    </w:r>
    <w:sdt>
      <w:sdtPr>
        <w:rPr>
          <w:sz w:val="18"/>
          <w:szCs w:val="18"/>
        </w:rPr>
        <w:id w:val="2020815133"/>
        <w:docPartObj>
          <w:docPartGallery w:val="Page Numbers (Bottom of Page)"/>
          <w:docPartUnique/>
        </w:docPartObj>
      </w:sdtPr>
      <w:sdtEndPr/>
      <w:sdtContent>
        <w:r w:rsidR="006D04BC" w:rsidRPr="00363E63">
          <w:rPr>
            <w:sz w:val="18"/>
            <w:szCs w:val="18"/>
          </w:rPr>
          <w:fldChar w:fldCharType="begin"/>
        </w:r>
        <w:r w:rsidR="006D04BC" w:rsidRPr="00363E63">
          <w:rPr>
            <w:sz w:val="18"/>
            <w:szCs w:val="18"/>
          </w:rPr>
          <w:instrText>PAGE   \* MERGEFORMAT</w:instrText>
        </w:r>
        <w:r w:rsidR="006D04BC" w:rsidRPr="00363E63">
          <w:rPr>
            <w:sz w:val="18"/>
            <w:szCs w:val="18"/>
          </w:rPr>
          <w:fldChar w:fldCharType="separate"/>
        </w:r>
        <w:r w:rsidR="006D04BC">
          <w:rPr>
            <w:sz w:val="18"/>
            <w:szCs w:val="18"/>
          </w:rPr>
          <w:t>1</w:t>
        </w:r>
        <w:r w:rsidR="006D04BC"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932" w:rsidRPr="006D04BC" w:rsidRDefault="00F6408C" w:rsidP="006D04BC">
    <w:pPr>
      <w:pStyle w:val="Naslov3"/>
      <w:tabs>
        <w:tab w:val="right" w:pos="9638"/>
      </w:tabs>
      <w:jc w:val="left"/>
      <w:rPr>
        <w:b w:val="0"/>
        <w:sz w:val="18"/>
        <w:szCs w:val="18"/>
      </w:rPr>
    </w:pPr>
    <w:r w:rsidRPr="00F6408C">
      <w:rPr>
        <w:sz w:val="18"/>
        <w:szCs w:val="18"/>
      </w:rPr>
      <w:t xml:space="preserve">More </w:t>
    </w:r>
    <w:proofErr w:type="spellStart"/>
    <w:r w:rsidRPr="00F6408C">
      <w:rPr>
        <w:sz w:val="18"/>
        <w:szCs w:val="18"/>
      </w:rPr>
      <w:t>information</w:t>
    </w:r>
    <w:proofErr w:type="spellEnd"/>
    <w:r w:rsidR="00D55827" w:rsidRPr="000A4980">
      <w:rPr>
        <w:sz w:val="18"/>
        <w:szCs w:val="18"/>
      </w:rPr>
      <w:t>:</w:t>
    </w:r>
    <w:r w:rsidR="00D55827" w:rsidRPr="000A4980">
      <w:rPr>
        <w:rStyle w:val="Naslov3Char"/>
        <w:b/>
        <w:sz w:val="18"/>
        <w:szCs w:val="18"/>
      </w:rPr>
      <w:t xml:space="preserve"> </w:t>
    </w:r>
    <w:proofErr w:type="spellStart"/>
    <w:r w:rsidR="00D55827" w:rsidRPr="000A4980">
      <w:rPr>
        <w:b w:val="0"/>
        <w:sz w:val="18"/>
      </w:rPr>
      <w:t>phone</w:t>
    </w:r>
    <w:proofErr w:type="spellEnd"/>
    <w:r w:rsidR="00D55827" w:rsidRPr="000A4980">
      <w:rPr>
        <w:b w:val="0"/>
        <w:sz w:val="18"/>
      </w:rPr>
      <w:t xml:space="preserve">: +386 1 478 10 04, e-mail: </w:t>
    </w:r>
    <w:hyperlink r:id="rId1" w:history="1">
      <w:r w:rsidR="00D55827" w:rsidRPr="000A4980">
        <w:rPr>
          <w:rStyle w:val="Hyperlink"/>
          <w:b w:val="0"/>
          <w:color w:val="auto"/>
          <w:sz w:val="18"/>
          <w:u w:val="none"/>
        </w:rPr>
        <w:t>polona.osrajnik@gov.si</w:t>
      </w:r>
    </w:hyperlink>
    <w:r w:rsidR="006D04BC">
      <w:rPr>
        <w:sz w:val="18"/>
        <w:szCs w:val="18"/>
      </w:rPr>
      <w:tab/>
    </w:r>
    <w:sdt>
      <w:sdtPr>
        <w:rPr>
          <w:sz w:val="18"/>
          <w:szCs w:val="18"/>
        </w:rPr>
        <w:id w:val="-652685202"/>
        <w:docPartObj>
          <w:docPartGallery w:val="Page Numbers (Bottom of Page)"/>
          <w:docPartUnique/>
        </w:docPartObj>
      </w:sdtPr>
      <w:sdtEndPr/>
      <w:sdtContent>
        <w:r w:rsidR="006D04BC" w:rsidRPr="00363E63">
          <w:rPr>
            <w:sz w:val="18"/>
            <w:szCs w:val="18"/>
          </w:rPr>
          <w:fldChar w:fldCharType="begin"/>
        </w:r>
        <w:r w:rsidR="006D04BC" w:rsidRPr="00363E63">
          <w:rPr>
            <w:sz w:val="18"/>
            <w:szCs w:val="18"/>
          </w:rPr>
          <w:instrText>PAGE   \* MERGEFORMAT</w:instrText>
        </w:r>
        <w:r w:rsidR="006D04BC" w:rsidRPr="00363E63">
          <w:rPr>
            <w:sz w:val="18"/>
            <w:szCs w:val="18"/>
          </w:rPr>
          <w:fldChar w:fldCharType="separate"/>
        </w:r>
        <w:r w:rsidR="006D04BC">
          <w:rPr>
            <w:sz w:val="18"/>
            <w:szCs w:val="18"/>
          </w:rPr>
          <w:t>2</w:t>
        </w:r>
        <w:r w:rsidR="006D04BC"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27BA" w:rsidRPr="009539F3" w:rsidRDefault="001327BA" w:rsidP="001327BA">
    <w:pPr>
      <w:pStyle w:val="Naslov3"/>
      <w:tabs>
        <w:tab w:val="left" w:pos="7980"/>
        <w:tab w:val="right" w:pos="9638"/>
      </w:tabs>
      <w:spacing w:line="240" w:lineRule="auto"/>
      <w:rPr>
        <w:b w:val="0"/>
        <w:sz w:val="18"/>
        <w:szCs w:val="18"/>
      </w:rPr>
    </w:pPr>
    <w:proofErr w:type="spellStart"/>
    <w:r w:rsidRPr="009539F3">
      <w:rPr>
        <w:b w:val="0"/>
        <w:sz w:val="18"/>
        <w:szCs w:val="18"/>
      </w:rPr>
      <w:t>The</w:t>
    </w:r>
    <w:proofErr w:type="spellEnd"/>
    <w:r w:rsidRPr="009539F3">
      <w:rPr>
        <w:b w:val="0"/>
        <w:sz w:val="18"/>
        <w:szCs w:val="18"/>
      </w:rPr>
      <w:t xml:space="preserve"> table format </w:t>
    </w:r>
    <w:proofErr w:type="spellStart"/>
    <w:r w:rsidRPr="009539F3">
      <w:rPr>
        <w:b w:val="0"/>
        <w:sz w:val="18"/>
        <w:szCs w:val="18"/>
      </w:rPr>
      <w:t>accessible</w:t>
    </w:r>
    <w:proofErr w:type="spellEnd"/>
    <w:r w:rsidRPr="009539F3">
      <w:rPr>
        <w:b w:val="0"/>
        <w:sz w:val="18"/>
        <w:szCs w:val="18"/>
      </w:rPr>
      <w:t xml:space="preserve"> to </w:t>
    </w:r>
    <w:proofErr w:type="spellStart"/>
    <w:r w:rsidRPr="009539F3">
      <w:rPr>
        <w:b w:val="0"/>
        <w:sz w:val="18"/>
        <w:szCs w:val="18"/>
      </w:rPr>
      <w:t>screen</w:t>
    </w:r>
    <w:proofErr w:type="spellEnd"/>
    <w:r w:rsidRPr="009539F3">
      <w:rPr>
        <w:b w:val="0"/>
        <w:sz w:val="18"/>
        <w:szCs w:val="18"/>
      </w:rPr>
      <w:t xml:space="preserve"> </w:t>
    </w:r>
    <w:proofErr w:type="spellStart"/>
    <w:r w:rsidRPr="009539F3">
      <w:rPr>
        <w:b w:val="0"/>
        <w:sz w:val="18"/>
        <w:szCs w:val="18"/>
      </w:rPr>
      <w:t>reader</w:t>
    </w:r>
    <w:proofErr w:type="spellEnd"/>
    <w:r w:rsidRPr="009539F3">
      <w:rPr>
        <w:b w:val="0"/>
        <w:sz w:val="18"/>
        <w:szCs w:val="18"/>
      </w:rPr>
      <w:t xml:space="preserve"> </w:t>
    </w:r>
    <w:proofErr w:type="spellStart"/>
    <w:r w:rsidRPr="009539F3">
      <w:rPr>
        <w:b w:val="0"/>
        <w:sz w:val="18"/>
        <w:szCs w:val="18"/>
      </w:rPr>
      <w:t>users</w:t>
    </w:r>
    <w:proofErr w:type="spellEnd"/>
    <w:r w:rsidRPr="009539F3">
      <w:rPr>
        <w:b w:val="0"/>
        <w:sz w:val="18"/>
        <w:szCs w:val="18"/>
      </w:rPr>
      <w:t xml:space="preserve"> </w:t>
    </w:r>
    <w:proofErr w:type="spellStart"/>
    <w:r w:rsidRPr="009539F3">
      <w:rPr>
        <w:b w:val="0"/>
        <w:sz w:val="18"/>
        <w:szCs w:val="18"/>
      </w:rPr>
      <w:t>can</w:t>
    </w:r>
    <w:proofErr w:type="spellEnd"/>
    <w:r w:rsidRPr="009539F3">
      <w:rPr>
        <w:b w:val="0"/>
        <w:sz w:val="18"/>
        <w:szCs w:val="18"/>
      </w:rPr>
      <w:t xml:space="preserve"> be </w:t>
    </w:r>
    <w:proofErr w:type="spellStart"/>
    <w:r w:rsidRPr="009539F3">
      <w:rPr>
        <w:b w:val="0"/>
        <w:sz w:val="18"/>
        <w:szCs w:val="18"/>
      </w:rPr>
      <w:t>found</w:t>
    </w:r>
    <w:proofErr w:type="spellEnd"/>
    <w:r w:rsidRPr="009539F3">
      <w:rPr>
        <w:b w:val="0"/>
        <w:sz w:val="18"/>
        <w:szCs w:val="18"/>
      </w:rPr>
      <w:t xml:space="preserve"> on </w:t>
    </w:r>
    <w:proofErr w:type="spellStart"/>
    <w:r w:rsidRPr="009539F3">
      <w:rPr>
        <w:b w:val="0"/>
        <w:sz w:val="18"/>
        <w:szCs w:val="18"/>
      </w:rPr>
      <w:t>the</w:t>
    </w:r>
    <w:proofErr w:type="spellEnd"/>
    <w:r w:rsidRPr="009539F3">
      <w:rPr>
        <w:b w:val="0"/>
        <w:sz w:val="18"/>
        <w:szCs w:val="18"/>
      </w:rPr>
      <w:t xml:space="preserve"> IMAD </w:t>
    </w:r>
    <w:proofErr w:type="spellStart"/>
    <w:r w:rsidRPr="009539F3">
      <w:rPr>
        <w:b w:val="0"/>
        <w:sz w:val="18"/>
        <w:szCs w:val="18"/>
      </w:rPr>
      <w:t>website</w:t>
    </w:r>
    <w:proofErr w:type="spellEnd"/>
    <w:r w:rsidRPr="009539F3">
      <w:rPr>
        <w:b w:val="0"/>
        <w:sz w:val="18"/>
        <w:szCs w:val="18"/>
      </w:rPr>
      <w:t xml:space="preserve"> </w:t>
    </w:r>
    <w:proofErr w:type="spellStart"/>
    <w:r w:rsidRPr="009539F3">
      <w:rPr>
        <w:b w:val="0"/>
        <w:sz w:val="18"/>
        <w:szCs w:val="18"/>
      </w:rPr>
      <w:t>among</w:t>
    </w:r>
    <w:proofErr w:type="spellEnd"/>
    <w:r w:rsidRPr="009539F3">
      <w:rPr>
        <w:b w:val="0"/>
        <w:sz w:val="18"/>
        <w:szCs w:val="18"/>
      </w:rPr>
      <w:t xml:space="preserve"> </w:t>
    </w:r>
    <w:proofErr w:type="spellStart"/>
    <w:r w:rsidRPr="009539F3">
      <w:rPr>
        <w:b w:val="0"/>
        <w:sz w:val="18"/>
        <w:szCs w:val="18"/>
      </w:rPr>
      <w:t>the</w:t>
    </w:r>
    <w:proofErr w:type="spellEnd"/>
    <w:r w:rsidRPr="009539F3">
      <w:rPr>
        <w:b w:val="0"/>
        <w:sz w:val="18"/>
        <w:szCs w:val="18"/>
      </w:rPr>
      <w:t xml:space="preserve"> </w:t>
    </w:r>
    <w:proofErr w:type="spellStart"/>
    <w:r w:rsidRPr="009539F3">
      <w:rPr>
        <w:b w:val="0"/>
        <w:sz w:val="18"/>
        <w:szCs w:val="18"/>
      </w:rPr>
      <w:t>appendices</w:t>
    </w:r>
    <w:proofErr w:type="spellEnd"/>
    <w:r w:rsidRPr="009539F3">
      <w:rPr>
        <w:b w:val="0"/>
        <w:sz w:val="18"/>
        <w:szCs w:val="18"/>
      </w:rPr>
      <w:t xml:space="preserve"> to </w:t>
    </w:r>
    <w:proofErr w:type="spellStart"/>
    <w:r w:rsidRPr="009539F3">
      <w:rPr>
        <w:b w:val="0"/>
        <w:sz w:val="18"/>
        <w:szCs w:val="18"/>
      </w:rPr>
      <w:t>the</w:t>
    </w:r>
    <w:proofErr w:type="spellEnd"/>
    <w:r w:rsidRPr="009539F3">
      <w:rPr>
        <w:b w:val="0"/>
        <w:sz w:val="18"/>
        <w:szCs w:val="18"/>
      </w:rPr>
      <w:t xml:space="preserve"> </w:t>
    </w:r>
    <w:proofErr w:type="spellStart"/>
    <w:r w:rsidRPr="009539F3">
      <w:rPr>
        <w:b w:val="0"/>
        <w:sz w:val="18"/>
        <w:szCs w:val="18"/>
      </w:rPr>
      <w:t>current</w:t>
    </w:r>
    <w:proofErr w:type="spellEnd"/>
    <w:r w:rsidRPr="009539F3">
      <w:rPr>
        <w:b w:val="0"/>
        <w:sz w:val="18"/>
        <w:szCs w:val="18"/>
      </w:rPr>
      <w:t xml:space="preserve"> </w:t>
    </w:r>
    <w:proofErr w:type="spellStart"/>
    <w:r w:rsidRPr="009539F3">
      <w:rPr>
        <w:b w:val="0"/>
        <w:sz w:val="18"/>
        <w:szCs w:val="18"/>
      </w:rPr>
      <w:t>graphs</w:t>
    </w:r>
    <w:proofErr w:type="spellEnd"/>
    <w:r w:rsidRPr="009539F3">
      <w:rPr>
        <w:b w:val="0"/>
        <w:sz w:val="18"/>
        <w:szCs w:val="18"/>
      </w:rPr>
      <w:t xml:space="preserve"> </w:t>
    </w:r>
    <w:proofErr w:type="spellStart"/>
    <w:r w:rsidRPr="009539F3">
      <w:rPr>
        <w:b w:val="0"/>
        <w:sz w:val="18"/>
        <w:szCs w:val="18"/>
      </w:rPr>
      <w:t>of</w:t>
    </w:r>
    <w:proofErr w:type="spellEnd"/>
    <w:r w:rsidRPr="009539F3">
      <w:rPr>
        <w:b w:val="0"/>
        <w:sz w:val="18"/>
        <w:szCs w:val="18"/>
      </w:rPr>
      <w:t xml:space="preserve"> </w:t>
    </w:r>
    <w:proofErr w:type="spellStart"/>
    <w:r w:rsidRPr="009539F3">
      <w:rPr>
        <w:b w:val="0"/>
        <w:sz w:val="18"/>
        <w:szCs w:val="18"/>
      </w:rPr>
      <w:t>the</w:t>
    </w:r>
    <w:proofErr w:type="spellEnd"/>
    <w:r w:rsidRPr="009539F3">
      <w:rPr>
        <w:b w:val="0"/>
        <w:sz w:val="18"/>
        <w:szCs w:val="18"/>
      </w:rPr>
      <w:t xml:space="preserve"> </w:t>
    </w:r>
    <w:proofErr w:type="spellStart"/>
    <w:r w:rsidRPr="009539F3">
      <w:rPr>
        <w:b w:val="0"/>
        <w:sz w:val="18"/>
        <w:szCs w:val="18"/>
      </w:rPr>
      <w:t>week</w:t>
    </w:r>
    <w:proofErr w:type="spellEnd"/>
    <w:r w:rsidRPr="009539F3">
      <w:rPr>
        <w:b w:val="0"/>
        <w:sz w:val="18"/>
        <w:szCs w:val="18"/>
      </w:rPr>
      <w:t xml:space="preserve"> (</w:t>
    </w:r>
    <w:proofErr w:type="spellStart"/>
    <w:r w:rsidRPr="009539F3">
      <w:rPr>
        <w:b w:val="0"/>
        <w:sz w:val="18"/>
        <w:szCs w:val="18"/>
      </w:rPr>
      <w:t>Selected</w:t>
    </w:r>
    <w:proofErr w:type="spellEnd"/>
    <w:r w:rsidRPr="009539F3">
      <w:rPr>
        <w:b w:val="0"/>
        <w:sz w:val="18"/>
        <w:szCs w:val="18"/>
      </w:rPr>
      <w:t xml:space="preserve"> </w:t>
    </w:r>
    <w:proofErr w:type="spellStart"/>
    <w:r w:rsidRPr="009539F3">
      <w:rPr>
        <w:b w:val="0"/>
        <w:sz w:val="18"/>
        <w:szCs w:val="18"/>
      </w:rPr>
      <w:t>macroeconomic</w:t>
    </w:r>
    <w:proofErr w:type="spellEnd"/>
    <w:r w:rsidRPr="009539F3">
      <w:rPr>
        <w:b w:val="0"/>
        <w:sz w:val="18"/>
        <w:szCs w:val="18"/>
      </w:rPr>
      <w:t xml:space="preserve"> </w:t>
    </w:r>
    <w:proofErr w:type="spellStart"/>
    <w:r w:rsidRPr="009539F3">
      <w:rPr>
        <w:b w:val="0"/>
        <w:sz w:val="18"/>
        <w:szCs w:val="18"/>
      </w:rPr>
      <w:t>indicators</w:t>
    </w:r>
    <w:proofErr w:type="spellEnd"/>
    <w:r w:rsidRPr="009539F3">
      <w:rPr>
        <w:b w:val="0"/>
        <w:sz w:val="18"/>
        <w:szCs w:val="18"/>
      </w:rPr>
      <w:t xml:space="preserve"> </w:t>
    </w:r>
    <w:proofErr w:type="spellStart"/>
    <w:r w:rsidRPr="009539F3">
      <w:rPr>
        <w:b w:val="0"/>
        <w:sz w:val="18"/>
        <w:szCs w:val="18"/>
      </w:rPr>
      <w:t>for</w:t>
    </w:r>
    <w:proofErr w:type="spellEnd"/>
    <w:r w:rsidRPr="009539F3">
      <w:rPr>
        <w:b w:val="0"/>
        <w:sz w:val="18"/>
        <w:szCs w:val="18"/>
      </w:rPr>
      <w:t xml:space="preserve"> euro area) </w:t>
    </w:r>
  </w:p>
  <w:p w:rsidR="001327BA" w:rsidRDefault="001327BA" w:rsidP="001327BA">
    <w:pPr>
      <w:pStyle w:val="Naslov3"/>
      <w:tabs>
        <w:tab w:val="left" w:pos="7980"/>
        <w:tab w:val="right" w:pos="9638"/>
      </w:tabs>
      <w:spacing w:line="240" w:lineRule="auto"/>
      <w:jc w:val="left"/>
      <w:rPr>
        <w:sz w:val="18"/>
        <w:szCs w:val="18"/>
      </w:rPr>
    </w:pPr>
  </w:p>
  <w:p w:rsidR="001A31EE" w:rsidRPr="006D04BC" w:rsidRDefault="00F6408C" w:rsidP="001327BA">
    <w:pPr>
      <w:pStyle w:val="Naslov3"/>
      <w:tabs>
        <w:tab w:val="right" w:pos="9638"/>
      </w:tabs>
      <w:spacing w:line="240" w:lineRule="auto"/>
      <w:jc w:val="left"/>
      <w:rPr>
        <w:b w:val="0"/>
        <w:sz w:val="18"/>
        <w:szCs w:val="18"/>
      </w:rPr>
    </w:pPr>
    <w:r w:rsidRPr="00F6408C">
      <w:rPr>
        <w:sz w:val="18"/>
        <w:szCs w:val="18"/>
      </w:rPr>
      <w:t xml:space="preserve">More </w:t>
    </w:r>
    <w:proofErr w:type="spellStart"/>
    <w:r w:rsidRPr="00F6408C">
      <w:rPr>
        <w:sz w:val="18"/>
        <w:szCs w:val="18"/>
      </w:rPr>
      <w:t>information</w:t>
    </w:r>
    <w:proofErr w:type="spellEnd"/>
    <w:r w:rsidR="00D55827" w:rsidRPr="000A4980">
      <w:rPr>
        <w:sz w:val="18"/>
        <w:szCs w:val="18"/>
      </w:rPr>
      <w:t>:</w:t>
    </w:r>
    <w:r w:rsidR="00D55827" w:rsidRPr="000A4980">
      <w:rPr>
        <w:rStyle w:val="Naslov3Char"/>
        <w:b/>
        <w:sz w:val="18"/>
        <w:szCs w:val="18"/>
      </w:rPr>
      <w:t xml:space="preserve"> </w:t>
    </w:r>
    <w:proofErr w:type="spellStart"/>
    <w:r w:rsidR="00D55827" w:rsidRPr="000A4980">
      <w:rPr>
        <w:b w:val="0"/>
        <w:sz w:val="18"/>
      </w:rPr>
      <w:t>phone</w:t>
    </w:r>
    <w:proofErr w:type="spellEnd"/>
    <w:r w:rsidR="00D55827" w:rsidRPr="000A4980">
      <w:rPr>
        <w:b w:val="0"/>
        <w:sz w:val="18"/>
      </w:rPr>
      <w:t xml:space="preserve">: +386 1 478 10 04, e-mail: </w:t>
    </w:r>
    <w:hyperlink r:id="rId1" w:history="1">
      <w:r w:rsidR="00D55827" w:rsidRPr="000A4980">
        <w:rPr>
          <w:rStyle w:val="Hyperlink"/>
          <w:b w:val="0"/>
          <w:color w:val="auto"/>
          <w:sz w:val="18"/>
          <w:u w:val="none"/>
        </w:rPr>
        <w:t>polona.osrajnik@gov.si</w:t>
      </w:r>
    </w:hyperlink>
    <w:r w:rsidR="001A31EE">
      <w:rPr>
        <w:sz w:val="18"/>
        <w:szCs w:val="18"/>
      </w:rPr>
      <w:tab/>
    </w:r>
    <w:sdt>
      <w:sdtPr>
        <w:rPr>
          <w:sz w:val="18"/>
          <w:szCs w:val="18"/>
        </w:rPr>
        <w:id w:val="-1083293352"/>
        <w:docPartObj>
          <w:docPartGallery w:val="Page Numbers (Bottom of Page)"/>
          <w:docPartUnique/>
        </w:docPartObj>
      </w:sdtPr>
      <w:sdtEndPr/>
      <w:sdtContent>
        <w:r w:rsidR="001A31EE" w:rsidRPr="00363E63">
          <w:rPr>
            <w:sz w:val="18"/>
            <w:szCs w:val="18"/>
          </w:rPr>
          <w:fldChar w:fldCharType="begin"/>
        </w:r>
        <w:r w:rsidR="001A31EE" w:rsidRPr="00363E63">
          <w:rPr>
            <w:sz w:val="18"/>
            <w:szCs w:val="18"/>
          </w:rPr>
          <w:instrText>PAGE   \* MERGEFORMAT</w:instrText>
        </w:r>
        <w:r w:rsidR="001A31EE" w:rsidRPr="00363E63">
          <w:rPr>
            <w:sz w:val="18"/>
            <w:szCs w:val="18"/>
          </w:rPr>
          <w:fldChar w:fldCharType="separate"/>
        </w:r>
        <w:r w:rsidR="001A31EE">
          <w:rPr>
            <w:sz w:val="18"/>
            <w:szCs w:val="18"/>
          </w:rPr>
          <w:t>1</w:t>
        </w:r>
        <w:r w:rsidR="001A31EE" w:rsidRPr="00363E63">
          <w:rPr>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23D3" w:rsidRDefault="00B823D3" w:rsidP="0063497B">
      <w:pPr>
        <w:spacing w:line="240" w:lineRule="auto"/>
      </w:pPr>
      <w:r>
        <w:separator/>
      </w:r>
    </w:p>
  </w:footnote>
  <w:footnote w:type="continuationSeparator" w:id="0">
    <w:p w:rsidR="00B823D3" w:rsidRDefault="00B823D3" w:rsidP="006349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546C" w:rsidRDefault="005C546C" w:rsidP="005C546C">
    <w:pPr>
      <w:jc w:val="right"/>
    </w:pPr>
    <w:r w:rsidRPr="00763932">
      <w:rPr>
        <w:noProof/>
      </w:rPr>
      <w:drawing>
        <wp:anchor distT="0" distB="0" distL="114300" distR="114300" simplePos="0" relativeHeight="251672576" behindDoc="0" locked="0" layoutInCell="1" allowOverlap="1" wp14:anchorId="1BEFB25F" wp14:editId="559AAE5E">
          <wp:simplePos x="0" y="0"/>
          <wp:positionH relativeFrom="column">
            <wp:posOffset>-361950</wp:posOffset>
          </wp:positionH>
          <wp:positionV relativeFrom="paragraph">
            <wp:posOffset>53340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rsidR="001B705A">
      <w:t>14</w:t>
    </w:r>
    <w:r>
      <w:t xml:space="preserve"> </w:t>
    </w:r>
    <w:proofErr w:type="spellStart"/>
    <w:r w:rsidR="00DB79DE">
      <w:t>February</w:t>
    </w:r>
    <w:proofErr w:type="spellEnd"/>
    <w:r>
      <w:t xml:space="preserve"> 20</w:t>
    </w:r>
    <w:r w:rsidR="00DB79DE">
      <w:t>22</w:t>
    </w:r>
  </w:p>
  <w:p w:rsidR="005C546C" w:rsidRDefault="005C546C" w:rsidP="005C546C">
    <w:pPr>
      <w:jc w:val="right"/>
    </w:pPr>
  </w:p>
  <w:p w:rsidR="001A31EE" w:rsidRDefault="001A31EE" w:rsidP="005C546C">
    <w:pPr>
      <w:jc w:val="right"/>
    </w:pPr>
  </w:p>
  <w:p w:rsidR="005C546C" w:rsidRDefault="005C546C" w:rsidP="005C546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31EE" w:rsidRPr="007778A3" w:rsidRDefault="007778A3">
    <w:pPr>
      <w:pStyle w:val="Header"/>
      <w:rPr>
        <w:b/>
        <w:bCs/>
      </w:rPr>
    </w:pPr>
    <w:r w:rsidRPr="00F93880">
      <w:rPr>
        <w:b/>
        <w:bCs/>
      </w:rPr>
      <w:t>Tab</w:t>
    </w:r>
    <w:r>
      <w:rPr>
        <w:b/>
        <w:bCs/>
      </w:rPr>
      <w:t>le</w:t>
    </w:r>
    <w:r w:rsidRPr="00F93880">
      <w:rPr>
        <w:b/>
        <w:bCs/>
      </w:rPr>
      <w:t xml:space="preserve">: </w:t>
    </w:r>
    <w:proofErr w:type="spellStart"/>
    <w:r>
      <w:rPr>
        <w:b/>
        <w:bCs/>
      </w:rPr>
      <w:t>Selected</w:t>
    </w:r>
    <w:proofErr w:type="spellEnd"/>
    <w:r>
      <w:rPr>
        <w:b/>
        <w:bCs/>
      </w:rPr>
      <w:t xml:space="preserve"> </w:t>
    </w:r>
    <w:proofErr w:type="spellStart"/>
    <w:r>
      <w:rPr>
        <w:b/>
        <w:bCs/>
      </w:rPr>
      <w:t>macroeconomic</w:t>
    </w:r>
    <w:proofErr w:type="spellEnd"/>
    <w:r>
      <w:rPr>
        <w:b/>
        <w:bCs/>
      </w:rPr>
      <w:t xml:space="preserve"> </w:t>
    </w:r>
    <w:proofErr w:type="spellStart"/>
    <w:r>
      <w:rPr>
        <w:b/>
        <w:bCs/>
      </w:rPr>
      <w:t>indicators</w:t>
    </w:r>
    <w:proofErr w:type="spellEnd"/>
    <w:r>
      <w:rPr>
        <w:b/>
        <w:bCs/>
      </w:rPr>
      <w:t xml:space="preserve"> </w:t>
    </w:r>
    <w:proofErr w:type="spellStart"/>
    <w:r>
      <w:rPr>
        <w:b/>
        <w:bCs/>
      </w:rPr>
      <w:t>for</w:t>
    </w:r>
    <w:proofErr w:type="spellEnd"/>
    <w:r w:rsidRPr="00F93880">
      <w:rPr>
        <w:b/>
        <w:bCs/>
      </w:rPr>
      <w:t xml:space="preserve"> </w:t>
    </w:r>
    <w:proofErr w:type="spellStart"/>
    <w:r>
      <w:rPr>
        <w:b/>
        <w:bCs/>
      </w:rPr>
      <w:t>S</w:t>
    </w:r>
    <w:r w:rsidRPr="00F93880">
      <w:rPr>
        <w:b/>
        <w:bCs/>
      </w:rPr>
      <w:t>loveni</w:t>
    </w:r>
    <w:r>
      <w:rPr>
        <w:b/>
        <w:bCs/>
      </w:rPr>
      <w:t>a</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8.6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3D3"/>
    <w:rsid w:val="00001002"/>
    <w:rsid w:val="00044BD4"/>
    <w:rsid w:val="00047D38"/>
    <w:rsid w:val="000511FE"/>
    <w:rsid w:val="000547BF"/>
    <w:rsid w:val="00070B6E"/>
    <w:rsid w:val="00077F13"/>
    <w:rsid w:val="000A5A42"/>
    <w:rsid w:val="000A7BDC"/>
    <w:rsid w:val="000E172B"/>
    <w:rsid w:val="000F15D3"/>
    <w:rsid w:val="00115E8D"/>
    <w:rsid w:val="00123D52"/>
    <w:rsid w:val="00125926"/>
    <w:rsid w:val="001327BA"/>
    <w:rsid w:val="00133E20"/>
    <w:rsid w:val="0016141B"/>
    <w:rsid w:val="00166A48"/>
    <w:rsid w:val="00187077"/>
    <w:rsid w:val="0019138D"/>
    <w:rsid w:val="001A0C98"/>
    <w:rsid w:val="001A2CB5"/>
    <w:rsid w:val="001A31EE"/>
    <w:rsid w:val="001B6AE7"/>
    <w:rsid w:val="001B705A"/>
    <w:rsid w:val="001C0587"/>
    <w:rsid w:val="001C138F"/>
    <w:rsid w:val="001C3A33"/>
    <w:rsid w:val="001D6793"/>
    <w:rsid w:val="001F43F0"/>
    <w:rsid w:val="001F51CD"/>
    <w:rsid w:val="00216373"/>
    <w:rsid w:val="00237023"/>
    <w:rsid w:val="00243593"/>
    <w:rsid w:val="0026509A"/>
    <w:rsid w:val="0026694E"/>
    <w:rsid w:val="002B376F"/>
    <w:rsid w:val="002B4319"/>
    <w:rsid w:val="002B4C3A"/>
    <w:rsid w:val="002B5361"/>
    <w:rsid w:val="002D46EF"/>
    <w:rsid w:val="002E69B6"/>
    <w:rsid w:val="00306767"/>
    <w:rsid w:val="00312702"/>
    <w:rsid w:val="00312D09"/>
    <w:rsid w:val="00373826"/>
    <w:rsid w:val="00384AB6"/>
    <w:rsid w:val="003C614E"/>
    <w:rsid w:val="00431EDD"/>
    <w:rsid w:val="004361A1"/>
    <w:rsid w:val="004368FB"/>
    <w:rsid w:val="00452589"/>
    <w:rsid w:val="00452804"/>
    <w:rsid w:val="00464D01"/>
    <w:rsid w:val="00477274"/>
    <w:rsid w:val="00481FA7"/>
    <w:rsid w:val="004874AC"/>
    <w:rsid w:val="004970E5"/>
    <w:rsid w:val="00534457"/>
    <w:rsid w:val="00546DBF"/>
    <w:rsid w:val="005964A5"/>
    <w:rsid w:val="005A2CA9"/>
    <w:rsid w:val="005C546C"/>
    <w:rsid w:val="006269CE"/>
    <w:rsid w:val="0063497B"/>
    <w:rsid w:val="0065006B"/>
    <w:rsid w:val="00650921"/>
    <w:rsid w:val="00671853"/>
    <w:rsid w:val="006732C5"/>
    <w:rsid w:val="006802ED"/>
    <w:rsid w:val="006875F1"/>
    <w:rsid w:val="006965FC"/>
    <w:rsid w:val="006A6820"/>
    <w:rsid w:val="006A7EF4"/>
    <w:rsid w:val="006C2117"/>
    <w:rsid w:val="006D0300"/>
    <w:rsid w:val="006D04BC"/>
    <w:rsid w:val="006E1C81"/>
    <w:rsid w:val="007016EF"/>
    <w:rsid w:val="007323DE"/>
    <w:rsid w:val="0074452D"/>
    <w:rsid w:val="00763932"/>
    <w:rsid w:val="00772003"/>
    <w:rsid w:val="007778A3"/>
    <w:rsid w:val="00784980"/>
    <w:rsid w:val="0079410F"/>
    <w:rsid w:val="007A0B59"/>
    <w:rsid w:val="007A1ADF"/>
    <w:rsid w:val="007A4BC5"/>
    <w:rsid w:val="007A6084"/>
    <w:rsid w:val="007B7110"/>
    <w:rsid w:val="007F1307"/>
    <w:rsid w:val="00812D81"/>
    <w:rsid w:val="00813913"/>
    <w:rsid w:val="00860582"/>
    <w:rsid w:val="00887D7E"/>
    <w:rsid w:val="009023FF"/>
    <w:rsid w:val="00910265"/>
    <w:rsid w:val="0093604B"/>
    <w:rsid w:val="00940DB2"/>
    <w:rsid w:val="00946C4C"/>
    <w:rsid w:val="009539F3"/>
    <w:rsid w:val="009918B9"/>
    <w:rsid w:val="009A1E12"/>
    <w:rsid w:val="009D311B"/>
    <w:rsid w:val="009E0EA3"/>
    <w:rsid w:val="00A072AA"/>
    <w:rsid w:val="00A107AD"/>
    <w:rsid w:val="00A2026E"/>
    <w:rsid w:val="00A25EF3"/>
    <w:rsid w:val="00A35FCE"/>
    <w:rsid w:val="00A42839"/>
    <w:rsid w:val="00A5647C"/>
    <w:rsid w:val="00A7050D"/>
    <w:rsid w:val="00A8329F"/>
    <w:rsid w:val="00A9607E"/>
    <w:rsid w:val="00AA1F25"/>
    <w:rsid w:val="00AB0C65"/>
    <w:rsid w:val="00AC328B"/>
    <w:rsid w:val="00AC5D63"/>
    <w:rsid w:val="00AF3058"/>
    <w:rsid w:val="00B00E5E"/>
    <w:rsid w:val="00B220A3"/>
    <w:rsid w:val="00B37AC5"/>
    <w:rsid w:val="00B451B6"/>
    <w:rsid w:val="00B52F7E"/>
    <w:rsid w:val="00B738F6"/>
    <w:rsid w:val="00B77238"/>
    <w:rsid w:val="00B823D3"/>
    <w:rsid w:val="00B8300F"/>
    <w:rsid w:val="00B913B5"/>
    <w:rsid w:val="00BA64DB"/>
    <w:rsid w:val="00BB76AF"/>
    <w:rsid w:val="00BD4DF4"/>
    <w:rsid w:val="00BF2574"/>
    <w:rsid w:val="00C14A86"/>
    <w:rsid w:val="00C6130F"/>
    <w:rsid w:val="00C7347F"/>
    <w:rsid w:val="00C741AA"/>
    <w:rsid w:val="00CA3CFE"/>
    <w:rsid w:val="00CD10D3"/>
    <w:rsid w:val="00CD2B30"/>
    <w:rsid w:val="00CE13FA"/>
    <w:rsid w:val="00CF6407"/>
    <w:rsid w:val="00D10D15"/>
    <w:rsid w:val="00D312B6"/>
    <w:rsid w:val="00D336BB"/>
    <w:rsid w:val="00D53A43"/>
    <w:rsid w:val="00D55827"/>
    <w:rsid w:val="00DB1C32"/>
    <w:rsid w:val="00DB79DE"/>
    <w:rsid w:val="00DD7D7B"/>
    <w:rsid w:val="00DE2EA9"/>
    <w:rsid w:val="00DE4ACB"/>
    <w:rsid w:val="00DE4DCF"/>
    <w:rsid w:val="00DE72F6"/>
    <w:rsid w:val="00DF3E04"/>
    <w:rsid w:val="00DF4F0B"/>
    <w:rsid w:val="00E02749"/>
    <w:rsid w:val="00E501A0"/>
    <w:rsid w:val="00E5484D"/>
    <w:rsid w:val="00E7791D"/>
    <w:rsid w:val="00ED6836"/>
    <w:rsid w:val="00EE7E6E"/>
    <w:rsid w:val="00F221C4"/>
    <w:rsid w:val="00F409C1"/>
    <w:rsid w:val="00F41E1A"/>
    <w:rsid w:val="00F43F6C"/>
    <w:rsid w:val="00F47B15"/>
    <w:rsid w:val="00F505FF"/>
    <w:rsid w:val="00F545EF"/>
    <w:rsid w:val="00F6408C"/>
    <w:rsid w:val="00F65156"/>
    <w:rsid w:val="00F66E1B"/>
    <w:rsid w:val="00F930F6"/>
    <w:rsid w:val="00FA45E3"/>
    <w:rsid w:val="00FB5533"/>
    <w:rsid w:val="00FE0C40"/>
    <w:rsid w:val="00FE12B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F1A7E03-0D68-4350-B48D-0A6F6EB4E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06767"/>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
    <w:name w:val="Naslov 1"/>
    <w:basedOn w:val="Normal"/>
    <w:link w:val="Naslov1Char"/>
    <w:qFormat/>
    <w:rsid w:val="00812D81"/>
    <w:pPr>
      <w:spacing w:line="360" w:lineRule="exact"/>
    </w:pPr>
    <w:rPr>
      <w:b/>
      <w:sz w:val="32"/>
      <w:szCs w:val="36"/>
    </w:rPr>
  </w:style>
  <w:style w:type="paragraph" w:customStyle="1" w:styleId="Naslov2">
    <w:name w:val="Naslov 2"/>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
    <w:rsid w:val="00812D81"/>
    <w:rPr>
      <w:rFonts w:ascii="Myriad Pro" w:hAnsi="Myriad Pro"/>
      <w:b/>
      <w:sz w:val="32"/>
      <w:szCs w:val="36"/>
    </w:rPr>
  </w:style>
  <w:style w:type="paragraph" w:customStyle="1" w:styleId="Naslov3">
    <w:name w:val="Naslov 3"/>
    <w:basedOn w:val="Normal"/>
    <w:link w:val="Naslov3Char"/>
    <w:qFormat/>
    <w:rsid w:val="00671853"/>
    <w:rPr>
      <w:b/>
    </w:rPr>
  </w:style>
  <w:style w:type="character" w:customStyle="1" w:styleId="Naslov2Char">
    <w:name w:val="Naslov 2 Char"/>
    <w:basedOn w:val="DefaultParagraphFont"/>
    <w:link w:val="Naslov2"/>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paragraph" w:styleId="FootnoteText">
    <w:name w:val="footnote text"/>
    <w:aliases w:val="Char Char,Sprotna opomba-besedilo,Char Char Char Char,Sprotna opomba - besedilo Znak1,Sprotna opomba - besedilo Znak Znak2,Sprotna opomba - besedilo Znak1 Znak Znak1,Sprotna opomba - besedilo Znak1 Znak Znak Znak,fn,Char Ch,o"/>
    <w:basedOn w:val="Normal"/>
    <w:link w:val="FootnoteTextChar"/>
    <w:uiPriority w:val="99"/>
    <w:unhideWhenUsed/>
    <w:qFormat/>
    <w:rsid w:val="006D04BC"/>
    <w:pPr>
      <w:spacing w:line="240" w:lineRule="auto"/>
    </w:pPr>
    <w:rPr>
      <w:sz w:val="16"/>
      <w:szCs w:val="20"/>
    </w:rPr>
  </w:style>
  <w:style w:type="character" w:customStyle="1" w:styleId="FootnoteTextChar">
    <w:name w:val="Footnote Text Char"/>
    <w:aliases w:val="Char Char Char,Sprotna opomba-besedilo Char,Char Char Char Char Char,Sprotna opomba - besedilo Znak1 Char,Sprotna opomba - besedilo Znak Znak2 Char,Sprotna opomba - besedilo Znak1 Znak Znak1 Char,fn Char,Char Ch Char,o Char"/>
    <w:basedOn w:val="DefaultParagraphFont"/>
    <w:link w:val="FootnoteText"/>
    <w:uiPriority w:val="99"/>
    <w:rsid w:val="006D04BC"/>
    <w:rPr>
      <w:rFonts w:ascii="Myriad Pro" w:hAnsi="Myriad Pro"/>
      <w:sz w:val="16"/>
      <w:szCs w:val="20"/>
    </w:rPr>
  </w:style>
  <w:style w:type="character" w:styleId="FootnoteReference">
    <w:name w:val="footnote reference"/>
    <w:aliases w:val="Footnote symbol,Fussnota,Footnote,Footnote reference number,note TESI,SUPERS,EN Footnote Reference,-E Fußnotenzeichen,Times 10 Point,Exposant 3 Point,E...,nota de rodapé,Footnote Reference_LVL6,Footnote Reference_LVL61,Footnot,stylish"/>
    <w:basedOn w:val="DefaultParagraphFont"/>
    <w:uiPriority w:val="99"/>
    <w:unhideWhenUsed/>
    <w:qFormat/>
    <w:rsid w:val="00C741AA"/>
    <w:rPr>
      <w:vertAlign w:val="superscript"/>
    </w:rPr>
  </w:style>
  <w:style w:type="character" w:styleId="CommentReference">
    <w:name w:val="annotation reference"/>
    <w:basedOn w:val="DefaultParagraphFont"/>
    <w:uiPriority w:val="99"/>
    <w:semiHidden/>
    <w:unhideWhenUsed/>
    <w:rsid w:val="006D0300"/>
    <w:rPr>
      <w:sz w:val="16"/>
      <w:szCs w:val="16"/>
    </w:rPr>
  </w:style>
  <w:style w:type="paragraph" w:styleId="CommentText">
    <w:name w:val="annotation text"/>
    <w:basedOn w:val="Normal"/>
    <w:link w:val="CommentTextChar"/>
    <w:uiPriority w:val="99"/>
    <w:semiHidden/>
    <w:unhideWhenUsed/>
    <w:rsid w:val="006D0300"/>
    <w:pPr>
      <w:spacing w:line="240" w:lineRule="auto"/>
    </w:pPr>
    <w:rPr>
      <w:szCs w:val="20"/>
    </w:rPr>
  </w:style>
  <w:style w:type="character" w:customStyle="1" w:styleId="CommentTextChar">
    <w:name w:val="Comment Text Char"/>
    <w:basedOn w:val="DefaultParagraphFont"/>
    <w:link w:val="CommentText"/>
    <w:uiPriority w:val="99"/>
    <w:semiHidden/>
    <w:rsid w:val="006D0300"/>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6D0300"/>
    <w:rPr>
      <w:b/>
      <w:bCs/>
    </w:rPr>
  </w:style>
  <w:style w:type="character" w:customStyle="1" w:styleId="CommentSubjectChar">
    <w:name w:val="Comment Subject Char"/>
    <w:basedOn w:val="CommentTextChar"/>
    <w:link w:val="CommentSubject"/>
    <w:uiPriority w:val="99"/>
    <w:semiHidden/>
    <w:rsid w:val="006D0300"/>
    <w:rPr>
      <w:rFonts w:ascii="Myriad Pro" w:hAnsi="Myriad Pro"/>
      <w:b/>
      <w:bCs/>
      <w:sz w:val="20"/>
      <w:szCs w:val="20"/>
    </w:rPr>
  </w:style>
  <w:style w:type="character" w:styleId="Hyperlink">
    <w:name w:val="Hyperlink"/>
    <w:basedOn w:val="DefaultParagraphFont"/>
    <w:uiPriority w:val="99"/>
    <w:unhideWhenUsed/>
    <w:rsid w:val="006D04BC"/>
    <w:rPr>
      <w:color w:val="0563C1" w:themeColor="hyperlink"/>
      <w:u w:val="single"/>
    </w:rPr>
  </w:style>
  <w:style w:type="character" w:styleId="UnresolvedMention">
    <w:name w:val="Unresolved Mention"/>
    <w:basedOn w:val="DefaultParagraphFont"/>
    <w:uiPriority w:val="99"/>
    <w:semiHidden/>
    <w:unhideWhenUsed/>
    <w:rsid w:val="006D04BC"/>
    <w:rPr>
      <w:color w:val="605E5C"/>
      <w:shd w:val="clear" w:color="auto" w:fill="E1DFDD"/>
    </w:rPr>
  </w:style>
  <w:style w:type="paragraph" w:customStyle="1" w:styleId="Naslov31">
    <w:name w:val="Naslov 31"/>
    <w:basedOn w:val="Normal"/>
    <w:qFormat/>
    <w:rsid w:val="00D55827"/>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TGG\0_TEMPLATE\TGG_predloga_ANG_dostopna.dotx" TargetMode="External"/></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BCB84-086E-4CCB-AF46-DE709496F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TGG_predloga_ANG_dostopna</Template>
  <TotalTime>1</TotalTime>
  <Pages>4</Pages>
  <Words>642</Words>
  <Characters>3662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Južnik Rotar</dc:creator>
  <cp:keywords/>
  <dc:description/>
  <cp:lastModifiedBy>Mojca Bizjak</cp:lastModifiedBy>
  <cp:revision>2</cp:revision>
  <cp:lastPrinted>2019-03-18T09:54:00Z</cp:lastPrinted>
  <dcterms:created xsi:type="dcterms:W3CDTF">2022-02-15T06:32:00Z</dcterms:created>
  <dcterms:modified xsi:type="dcterms:W3CDTF">2022-02-15T06:32:00Z</dcterms:modified>
</cp:coreProperties>
</file>