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50F05" w14:textId="47D70E9F" w:rsidR="001D6793" w:rsidRPr="00DE72F6" w:rsidRDefault="004B235F" w:rsidP="001D6793">
      <w:pPr>
        <w:pStyle w:val="Naslov11"/>
      </w:pPr>
      <w:r>
        <w:t>CHARTS OF THE WEEK</w:t>
      </w:r>
    </w:p>
    <w:p w14:paraId="636DFC9E" w14:textId="39CB7E23" w:rsidR="001D6793" w:rsidRDefault="00FA45E3" w:rsidP="001D6793">
      <w:pPr>
        <w:pStyle w:val="Naslov21"/>
      </w:pPr>
      <w:r>
        <w:t>12–16 December 2022</w:t>
      </w:r>
    </w:p>
    <w:p w14:paraId="0D813662" w14:textId="62600A0A" w:rsidR="00DF4F0B" w:rsidRDefault="00DF4F0B"/>
    <w:p w14:paraId="196DFF85" w14:textId="77777777" w:rsidR="00916FC4" w:rsidRDefault="00916FC4"/>
    <w:p w14:paraId="0F21DA7E" w14:textId="1AAD2FAA" w:rsidR="008A2E00" w:rsidRDefault="005D7078" w:rsidP="001F51CD">
      <w:pPr>
        <w:tabs>
          <w:tab w:val="left" w:pos="580"/>
        </w:tabs>
      </w:pPr>
      <w:r>
        <w:t xml:space="preserve">Natural gas consumption and industrial and household electricity consumption were lower in November than in the same period in recent years. In addition to the measures to promote rational </w:t>
      </w:r>
      <w:r w:rsidR="008D52F1">
        <w:t>consumption</w:t>
      </w:r>
      <w:r>
        <w:t>, electricity and gas</w:t>
      </w:r>
      <w:r w:rsidR="00022B08">
        <w:t xml:space="preserve"> consumption</w:t>
      </w:r>
      <w:r>
        <w:t xml:space="preserve"> w</w:t>
      </w:r>
      <w:r w:rsidR="00022B08">
        <w:t>ere</w:t>
      </w:r>
      <w:r>
        <w:t xml:space="preserve"> also lower because the industry reacted to the high prices by reducing production</w:t>
      </w:r>
      <w:r w:rsidR="00B725B0">
        <w:t xml:space="preserve"> output</w:t>
      </w:r>
      <w:r>
        <w:t>. According to data on fiscal verification of invoices, turnover at the beginning of December was 15% higher year-on-year in nominal terms, supported by high price growth and also last year’s low base related to COVID-19 containment measures. After several years of surplus, Slovenia’s current account in the first ten months was close to being balanced. According to data on the value of construction work put in place, construction activity in October was significantly higher than last year. Compared to previous years, the construction of buildings stands out, and activity in civil engineering was also high. With employment high, the year-on-year growth in the number of persons in employment weakened somewhat in October. It was high in construction, which is characterised by a high proportion of foreign workers and a major labour shortage.</w:t>
      </w:r>
    </w:p>
    <w:p w14:paraId="2D6EEFE2" w14:textId="77777777" w:rsidR="00BA0F00" w:rsidRPr="00CB185C" w:rsidRDefault="00BA0F00" w:rsidP="001F51CD">
      <w:pPr>
        <w:tabs>
          <w:tab w:val="left" w:pos="580"/>
        </w:tabs>
      </w:pPr>
    </w:p>
    <w:tbl>
      <w:tblPr>
        <w:tblStyle w:val="Tabelamre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121"/>
        <w:gridCol w:w="567"/>
        <w:gridCol w:w="3969"/>
      </w:tblGrid>
      <w:tr w:rsidR="00BA0F00" w14:paraId="66B458D1" w14:textId="77777777" w:rsidTr="562B79E7">
        <w:trPr>
          <w:trHeight w:val="207"/>
        </w:trPr>
        <w:tc>
          <w:tcPr>
            <w:tcW w:w="5670" w:type="dxa"/>
            <w:gridSpan w:val="3"/>
            <w:tcBorders>
              <w:bottom w:val="single" w:sz="4" w:space="0" w:color="auto"/>
            </w:tcBorders>
            <w:tcMar>
              <w:left w:w="0" w:type="dxa"/>
            </w:tcMar>
          </w:tcPr>
          <w:p w14:paraId="443359D1" w14:textId="731A7DC4" w:rsidR="00BA0F00" w:rsidRPr="006C2117" w:rsidRDefault="00BA0F00" w:rsidP="0018081D">
            <w:pPr>
              <w:pStyle w:val="Naslov31"/>
              <w:jc w:val="left"/>
            </w:pPr>
            <w:r>
              <w:t>Natural gas consumption, November 2022</w:t>
            </w:r>
          </w:p>
        </w:tc>
        <w:tc>
          <w:tcPr>
            <w:tcW w:w="3969" w:type="dxa"/>
            <w:tcBorders>
              <w:bottom w:val="single" w:sz="4" w:space="0" w:color="auto"/>
            </w:tcBorders>
          </w:tcPr>
          <w:p w14:paraId="01098EB5" w14:textId="77777777" w:rsidR="00BA0F00" w:rsidRPr="006C2117" w:rsidRDefault="00BA0F00" w:rsidP="0018081D">
            <w:pPr>
              <w:pStyle w:val="Naslov31"/>
            </w:pPr>
          </w:p>
        </w:tc>
      </w:tr>
      <w:tr w:rsidR="00BA0F00" w14:paraId="78F9918F" w14:textId="77777777" w:rsidTr="562B79E7">
        <w:trPr>
          <w:trHeight w:val="1134"/>
        </w:trPr>
        <w:tc>
          <w:tcPr>
            <w:tcW w:w="4982" w:type="dxa"/>
            <w:tcBorders>
              <w:top w:val="single" w:sz="4" w:space="0" w:color="auto"/>
            </w:tcBorders>
            <w:tcMar>
              <w:left w:w="0" w:type="dxa"/>
            </w:tcMar>
          </w:tcPr>
          <w:p w14:paraId="2FC04A6E" w14:textId="7892FDE0" w:rsidR="00BA0F00" w:rsidRDefault="00560CB1" w:rsidP="0018081D">
            <w:pPr>
              <w:pStyle w:val="Odstavekseznama"/>
              <w:ind w:left="0"/>
            </w:pPr>
            <w:r>
              <w:rPr>
                <w:noProof/>
              </w:rPr>
              <w:drawing>
                <wp:inline distT="0" distB="0" distL="0" distR="0" wp14:anchorId="5936F8EE" wp14:editId="3A227748">
                  <wp:extent cx="3074400" cy="252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4400" cy="2523600"/>
                          </a:xfrm>
                          <a:prstGeom prst="rect">
                            <a:avLst/>
                          </a:prstGeom>
                          <a:noFill/>
                        </pic:spPr>
                      </pic:pic>
                    </a:graphicData>
                  </a:graphic>
                </wp:inline>
              </w:drawing>
            </w:r>
          </w:p>
        </w:tc>
        <w:tc>
          <w:tcPr>
            <w:tcW w:w="4657" w:type="dxa"/>
            <w:gridSpan w:val="3"/>
            <w:tcBorders>
              <w:top w:val="single" w:sz="4" w:space="0" w:color="auto"/>
            </w:tcBorders>
            <w:tcMar>
              <w:left w:w="284" w:type="dxa"/>
            </w:tcMar>
          </w:tcPr>
          <w:p w14:paraId="7EF4309A" w14:textId="15599624" w:rsidR="00BA0F00" w:rsidRPr="00DF4F0B" w:rsidRDefault="61085E36" w:rsidP="0018081D">
            <w:r>
              <w:rPr>
                <w:b/>
              </w:rPr>
              <w:t>Natural gas consumption in November was 11% lower than the comparable average consumption over the last five years,</w:t>
            </w:r>
            <w:r w:rsidR="00BF2D20" w:rsidRPr="6925969B">
              <w:rPr>
                <w:rFonts w:eastAsia="Myriad Pro" w:cs="Times New Roman"/>
                <w:vertAlign w:val="superscript"/>
              </w:rPr>
              <w:footnoteReference w:id="2"/>
            </w:r>
            <w:r>
              <w:rPr>
                <w:b/>
              </w:rPr>
              <w:t xml:space="preserve"> after being more than 21% lower in October given the unusually warm weather. </w:t>
            </w:r>
            <w:r>
              <w:t>Consumption was lower due to EU measures to promote rational gas use, while part of industry</w:t>
            </w:r>
            <w:r w:rsidR="00BF2D20" w:rsidRPr="6925969B">
              <w:rPr>
                <w:rFonts w:eastAsia="Myriad Pro" w:cs="Times New Roman"/>
                <w:vertAlign w:val="superscript"/>
              </w:rPr>
              <w:footnoteReference w:id="3"/>
            </w:r>
            <w:r>
              <w:t xml:space="preserve"> reacted to the high gas prices by reducing production output and thus gas consumption. After the warmer-than-average weather in the second half of October had additionally contributed to lower consumption, temperatures in November were more comparable to the long-term average and thus the gap to the comparable gas consumption of previous years narrowed. Before the winter season, EU Member States were able to assure that their gas storage capacities were almost full, but storage capacities have gone down as consumption has increased.</w:t>
            </w:r>
            <w:r w:rsidR="00AE4AFE" w:rsidRPr="6925969B">
              <w:rPr>
                <w:rFonts w:eastAsia="Myriad Pro" w:cs="Times New Roman"/>
                <w:vertAlign w:val="superscript"/>
              </w:rPr>
              <w:footnoteReference w:id="4"/>
            </w:r>
            <w:r>
              <w:t xml:space="preserve"> According to preliminary data, gas consumption in Slovenia from 1 August to 15 December 2022 was 14% lower than the comparable average consumption over the last five years, which is slightly below the EU recommendations for the period between August 2022 and March 2023.</w:t>
            </w:r>
          </w:p>
        </w:tc>
      </w:tr>
      <w:tr w:rsidR="006A2CFB" w:rsidRPr="006C2117" w14:paraId="146B949A" w14:textId="77777777" w:rsidTr="7C5CE89E">
        <w:trPr>
          <w:trHeight w:val="207"/>
        </w:trPr>
        <w:tc>
          <w:tcPr>
            <w:tcW w:w="5103" w:type="dxa"/>
            <w:gridSpan w:val="2"/>
            <w:tcBorders>
              <w:bottom w:val="single" w:sz="4" w:space="0" w:color="auto"/>
            </w:tcBorders>
            <w:tcMar>
              <w:left w:w="0" w:type="dxa"/>
            </w:tcMar>
          </w:tcPr>
          <w:p w14:paraId="071231FF" w14:textId="77777777" w:rsidR="006A2CFB" w:rsidRPr="006C2117" w:rsidRDefault="006A2CFB" w:rsidP="0018081D">
            <w:pPr>
              <w:pStyle w:val="Naslov31"/>
              <w:jc w:val="left"/>
            </w:pPr>
            <w:r>
              <w:lastRenderedPageBreak/>
              <w:t>Electricity consumption by consumption group, November 2022</w:t>
            </w:r>
          </w:p>
        </w:tc>
        <w:tc>
          <w:tcPr>
            <w:tcW w:w="4536" w:type="dxa"/>
            <w:gridSpan w:val="2"/>
            <w:tcBorders>
              <w:bottom w:val="single" w:sz="4" w:space="0" w:color="auto"/>
            </w:tcBorders>
          </w:tcPr>
          <w:p w14:paraId="6014AE32" w14:textId="77777777" w:rsidR="006A2CFB" w:rsidRPr="006C2117" w:rsidRDefault="006A2CFB" w:rsidP="0018081D">
            <w:pPr>
              <w:pStyle w:val="Naslov31"/>
            </w:pPr>
          </w:p>
        </w:tc>
      </w:tr>
      <w:tr w:rsidR="006A2CFB" w:rsidRPr="00DF4F0B" w14:paraId="7C465B89" w14:textId="77777777" w:rsidTr="7C5CE89E">
        <w:trPr>
          <w:trHeight w:val="1134"/>
        </w:trPr>
        <w:tc>
          <w:tcPr>
            <w:tcW w:w="4982" w:type="dxa"/>
            <w:tcBorders>
              <w:top w:val="single" w:sz="4" w:space="0" w:color="auto"/>
            </w:tcBorders>
            <w:tcMar>
              <w:left w:w="0" w:type="dxa"/>
            </w:tcMar>
          </w:tcPr>
          <w:p w14:paraId="7E3082A7" w14:textId="778534B8" w:rsidR="006A2CFB" w:rsidRDefault="00D6286F" w:rsidP="0018081D">
            <w:pPr>
              <w:pStyle w:val="Odstavekseznama"/>
              <w:ind w:left="0"/>
            </w:pPr>
            <w:r>
              <w:rPr>
                <w:noProof/>
              </w:rPr>
              <w:drawing>
                <wp:inline distT="0" distB="0" distL="0" distR="0" wp14:anchorId="15D6DAAC" wp14:editId="4C446E34">
                  <wp:extent cx="3106800" cy="2588400"/>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6800" cy="2588400"/>
                          </a:xfrm>
                          <a:prstGeom prst="rect">
                            <a:avLst/>
                          </a:prstGeom>
                          <a:noFill/>
                        </pic:spPr>
                      </pic:pic>
                    </a:graphicData>
                  </a:graphic>
                </wp:inline>
              </w:drawing>
            </w:r>
          </w:p>
        </w:tc>
        <w:tc>
          <w:tcPr>
            <w:tcW w:w="4657" w:type="dxa"/>
            <w:gridSpan w:val="3"/>
            <w:tcBorders>
              <w:top w:val="single" w:sz="4" w:space="0" w:color="auto"/>
            </w:tcBorders>
            <w:tcMar>
              <w:left w:w="284" w:type="dxa"/>
            </w:tcMar>
          </w:tcPr>
          <w:p w14:paraId="26112F0A" w14:textId="0781A780" w:rsidR="006A2CFB" w:rsidRPr="00DF4F0B" w:rsidRDefault="006A2CFB" w:rsidP="0018081D">
            <w:r>
              <w:rPr>
                <w:b/>
                <w:color w:val="000000"/>
                <w:shd w:val="clear" w:color="auto" w:fill="FFFFFF"/>
              </w:rPr>
              <w:t xml:space="preserve">In November, electricity consumption in the distribution network was lower year-on-year in all consumption groups, as it has been for several months now. </w:t>
            </w:r>
            <w:r>
              <w:rPr>
                <w:color w:val="000000"/>
                <w:shd w:val="clear" w:color="auto" w:fill="FFFFFF"/>
              </w:rPr>
              <w:t>The strongest decrease was recorded in industrial consumption (by 8.0%). According to our estimate, this was mainly due to the lower consumption by some energy-intensive companies, which reduced their production volume under the impact of high electricity prices and may have adapted their production processes and introduced modern technologies to increase their energy efficiency. Household consumption was also lower year-on-year in November (by 4.2%), most likely due to more rational consumption of energy and fewer people working from home. The decline in small business consumption was much less pronounced, as it was 0.9% lower in November than a year ago.</w:t>
            </w:r>
          </w:p>
        </w:tc>
      </w:tr>
    </w:tbl>
    <w:p w14:paraId="5C52A477" w14:textId="4D4B88A8" w:rsidR="00BA0F00" w:rsidRDefault="00BA0F00" w:rsidP="00BA0F00">
      <w:pPr>
        <w:tabs>
          <w:tab w:val="left" w:pos="580"/>
        </w:tabs>
      </w:pPr>
    </w:p>
    <w:tbl>
      <w:tblPr>
        <w:tblStyle w:val="Tabelamre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2956"/>
        <w:gridCol w:w="1701"/>
      </w:tblGrid>
      <w:tr w:rsidR="00FF0BCD" w:rsidRPr="006C2117" w14:paraId="1DF16D59" w14:textId="77777777" w:rsidTr="008666F9">
        <w:trPr>
          <w:trHeight w:val="207"/>
        </w:trPr>
        <w:tc>
          <w:tcPr>
            <w:tcW w:w="7938" w:type="dxa"/>
            <w:gridSpan w:val="2"/>
            <w:tcBorders>
              <w:bottom w:val="single" w:sz="4" w:space="0" w:color="auto"/>
            </w:tcBorders>
            <w:tcMar>
              <w:left w:w="0" w:type="dxa"/>
            </w:tcMar>
          </w:tcPr>
          <w:p w14:paraId="25EEBCDE" w14:textId="4521FDBC" w:rsidR="00FF0BCD" w:rsidRPr="006C2117" w:rsidRDefault="00FF0BCD" w:rsidP="0018081D">
            <w:pPr>
              <w:pStyle w:val="Naslov32"/>
              <w:jc w:val="left"/>
            </w:pPr>
            <w:r>
              <w:t>Value of fiscally verified invoices, in nominal terms, 27 November–10 December 2022</w:t>
            </w:r>
          </w:p>
        </w:tc>
        <w:tc>
          <w:tcPr>
            <w:tcW w:w="1701" w:type="dxa"/>
            <w:tcBorders>
              <w:bottom w:val="single" w:sz="4" w:space="0" w:color="auto"/>
            </w:tcBorders>
          </w:tcPr>
          <w:p w14:paraId="52D058F4" w14:textId="77777777" w:rsidR="00FF0BCD" w:rsidRPr="006C2117" w:rsidRDefault="00FF0BCD" w:rsidP="0018081D">
            <w:pPr>
              <w:pStyle w:val="Naslov32"/>
            </w:pPr>
          </w:p>
        </w:tc>
      </w:tr>
      <w:tr w:rsidR="00FF0BCD" w:rsidRPr="00DF4F0B" w14:paraId="06FF2EA0" w14:textId="77777777" w:rsidTr="0018081D">
        <w:trPr>
          <w:trHeight w:val="1134"/>
        </w:trPr>
        <w:tc>
          <w:tcPr>
            <w:tcW w:w="4982" w:type="dxa"/>
            <w:tcBorders>
              <w:top w:val="single" w:sz="4" w:space="0" w:color="auto"/>
            </w:tcBorders>
            <w:tcMar>
              <w:left w:w="0" w:type="dxa"/>
            </w:tcMar>
          </w:tcPr>
          <w:p w14:paraId="51FCA79A" w14:textId="79DA5795" w:rsidR="00FF0BCD" w:rsidRDefault="00D6286F" w:rsidP="0018081D">
            <w:pPr>
              <w:pStyle w:val="Odstavekseznama"/>
              <w:ind w:left="0"/>
              <w:rPr>
                <w:noProof/>
              </w:rPr>
            </w:pPr>
            <w:r>
              <w:rPr>
                <w:noProof/>
              </w:rPr>
              <w:drawing>
                <wp:inline distT="0" distB="0" distL="0" distR="0" wp14:anchorId="37915FED" wp14:editId="485EE3A4">
                  <wp:extent cx="3099600" cy="2534400"/>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9600" cy="2534400"/>
                          </a:xfrm>
                          <a:prstGeom prst="rect">
                            <a:avLst/>
                          </a:prstGeom>
                          <a:noFill/>
                        </pic:spPr>
                      </pic:pic>
                    </a:graphicData>
                  </a:graphic>
                </wp:inline>
              </w:drawing>
            </w:r>
          </w:p>
        </w:tc>
        <w:tc>
          <w:tcPr>
            <w:tcW w:w="4657" w:type="dxa"/>
            <w:gridSpan w:val="2"/>
            <w:tcBorders>
              <w:top w:val="single" w:sz="4" w:space="0" w:color="auto"/>
            </w:tcBorders>
            <w:tcMar>
              <w:left w:w="284" w:type="dxa"/>
            </w:tcMar>
          </w:tcPr>
          <w:p w14:paraId="64B6A898" w14:textId="5BB5B835" w:rsidR="00FF0BCD" w:rsidRDefault="00054692" w:rsidP="0018081D">
            <w:pPr>
              <w:rPr>
                <w:rFonts w:eastAsia="Myriad Pro" w:cs="Myriad Pro"/>
                <w:color w:val="000000" w:themeColor="text1"/>
              </w:rPr>
            </w:pPr>
            <w:r>
              <w:rPr>
                <w:b/>
                <w:color w:val="000000" w:themeColor="text1"/>
              </w:rPr>
              <w:t>Amid high price growth, the nominal value of fiscally verified invoices between 27 November and 10 December 2022 was 15% higher year-on-year and compared to the same period of 2019.</w:t>
            </w:r>
            <w:r>
              <w:rPr>
                <w:color w:val="000000" w:themeColor="text1"/>
              </w:rPr>
              <w:t xml:space="preserve"> The largest contribution to year-on-year growth, which was similar to that in the last two weeks, came from the 14% nominal growth of turnover in trade, which accounted for almost 80% of the total value of fiscally verified invoices issued. Growth was also significantly influenced by the high nominal turnover growth in accommodation and food service activities (34% overall, 39% in food and beverage service activities), which was mainly due to last year’s lower base.</w:t>
            </w:r>
            <w:r w:rsidRPr="00054692">
              <w:rPr>
                <w:rFonts w:eastAsia="Myriad Pro" w:cs="Myriad Pro"/>
                <w:color w:val="000000" w:themeColor="text1"/>
                <w:vertAlign w:val="superscript"/>
                <w:lang w:val="sl"/>
              </w:rPr>
              <w:footnoteReference w:id="5"/>
            </w:r>
          </w:p>
          <w:p w14:paraId="4E6EAD67" w14:textId="77777777" w:rsidR="00FF0BCD" w:rsidRPr="00DF4F0B" w:rsidRDefault="00FF0BCD" w:rsidP="0018081D"/>
        </w:tc>
      </w:tr>
    </w:tbl>
    <w:p w14:paraId="3FAB4C0A" w14:textId="1D51A345" w:rsidR="00093214" w:rsidRDefault="00093214">
      <w:pPr>
        <w:spacing w:after="160" w:line="259" w:lineRule="auto"/>
        <w:jc w:val="left"/>
      </w:pPr>
      <w:r>
        <w:br w:type="page"/>
      </w:r>
    </w:p>
    <w:tbl>
      <w:tblPr>
        <w:tblStyle w:val="Tabelamre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121"/>
        <w:gridCol w:w="4536"/>
      </w:tblGrid>
      <w:tr w:rsidR="005237A1" w:rsidRPr="006C2117" w14:paraId="064A9713" w14:textId="77777777" w:rsidTr="694F8E51">
        <w:trPr>
          <w:trHeight w:val="207"/>
        </w:trPr>
        <w:tc>
          <w:tcPr>
            <w:tcW w:w="5103" w:type="dxa"/>
            <w:gridSpan w:val="2"/>
            <w:tcBorders>
              <w:bottom w:val="single" w:sz="4" w:space="0" w:color="auto"/>
            </w:tcBorders>
            <w:tcMar>
              <w:left w:w="0" w:type="dxa"/>
            </w:tcMar>
          </w:tcPr>
          <w:p w14:paraId="540AE523" w14:textId="3774DA6E" w:rsidR="005237A1" w:rsidRPr="006C2117" w:rsidRDefault="005237A1" w:rsidP="0018081D">
            <w:pPr>
              <w:pStyle w:val="Naslov31"/>
              <w:jc w:val="left"/>
            </w:pPr>
            <w:r>
              <w:lastRenderedPageBreak/>
              <w:t>Current account of the balance of payments, October 2022</w:t>
            </w:r>
          </w:p>
        </w:tc>
        <w:tc>
          <w:tcPr>
            <w:tcW w:w="4536" w:type="dxa"/>
            <w:tcBorders>
              <w:bottom w:val="single" w:sz="4" w:space="0" w:color="auto"/>
            </w:tcBorders>
          </w:tcPr>
          <w:p w14:paraId="41056042" w14:textId="77777777" w:rsidR="005237A1" w:rsidRPr="006C2117" w:rsidRDefault="005237A1" w:rsidP="0018081D">
            <w:pPr>
              <w:pStyle w:val="Naslov31"/>
            </w:pPr>
          </w:p>
        </w:tc>
      </w:tr>
      <w:tr w:rsidR="005237A1" w:rsidRPr="00DF4F0B" w14:paraId="775C6681" w14:textId="77777777" w:rsidTr="694F8E51">
        <w:trPr>
          <w:trHeight w:val="1134"/>
        </w:trPr>
        <w:tc>
          <w:tcPr>
            <w:tcW w:w="4982" w:type="dxa"/>
            <w:tcBorders>
              <w:top w:val="single" w:sz="4" w:space="0" w:color="auto"/>
            </w:tcBorders>
            <w:tcMar>
              <w:left w:w="0" w:type="dxa"/>
            </w:tcMar>
          </w:tcPr>
          <w:p w14:paraId="7692783C" w14:textId="31137B3B" w:rsidR="005237A1" w:rsidRDefault="00D6286F" w:rsidP="0018081D">
            <w:pPr>
              <w:pStyle w:val="Odstavekseznama"/>
              <w:ind w:left="0"/>
            </w:pPr>
            <w:bookmarkStart w:id="0" w:name="_GoBack"/>
            <w:r>
              <w:rPr>
                <w:noProof/>
              </w:rPr>
              <w:drawing>
                <wp:inline distT="0" distB="0" distL="0" distR="0" wp14:anchorId="36EB2573" wp14:editId="67C9C350">
                  <wp:extent cx="2975230" cy="2491200"/>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975230" cy="2491200"/>
                          </a:xfrm>
                          <a:prstGeom prst="rect">
                            <a:avLst/>
                          </a:prstGeom>
                          <a:noFill/>
                        </pic:spPr>
                      </pic:pic>
                    </a:graphicData>
                  </a:graphic>
                </wp:inline>
              </w:drawing>
            </w:r>
            <w:bookmarkEnd w:id="0"/>
          </w:p>
        </w:tc>
        <w:tc>
          <w:tcPr>
            <w:tcW w:w="4657" w:type="dxa"/>
            <w:gridSpan w:val="2"/>
            <w:tcBorders>
              <w:top w:val="single" w:sz="4" w:space="0" w:color="auto"/>
            </w:tcBorders>
            <w:tcMar>
              <w:left w:w="284" w:type="dxa"/>
            </w:tcMar>
          </w:tcPr>
          <w:p w14:paraId="6C1B88CF" w14:textId="6E82837A" w:rsidR="005237A1" w:rsidRPr="00DF4F0B" w:rsidRDefault="378A9F6A" w:rsidP="0018081D">
            <w:r w:rsidRPr="694F8E51">
              <w:rPr>
                <w:b/>
                <w:bCs/>
              </w:rPr>
              <w:t xml:space="preserve">After several years of surplus, the current account is close to being balanced this year. </w:t>
            </w:r>
            <w:r>
              <w:t xml:space="preserve">The surplus of the current account of the balance of payments amounted to EUR 56.8 million in the first ten months, </w:t>
            </w:r>
            <w:r w:rsidR="3114DAE0">
              <w:t>noticeably</w:t>
            </w:r>
            <w:r>
              <w:t xml:space="preserve"> lower than in the same period last year, when it was EUR 2.1 billion. This was mainly due to trade in goods, as the real growth in imports of goods was higher than that in exports, given the deteriorating terms of trade. The sharp increase in the prices of energy and other primary commodities as well as in the industrial producer prices has significantly worsened the terms of trade (by 2.9%) and increased the operating costs of non-financial corporations (companies). The primary income deficit was higher due to lower subsidies from the EU budget and more customs duties paid to the EU budget related to the import of electric vehicles for the entire EU market (via the port of Koper). The higher secondary income deficit was arising from higher private sector transfers abroad. The services surplus increased, especially in trade in travel and in trade in transport services related to the growth of international trade in goods.</w:t>
            </w:r>
          </w:p>
        </w:tc>
      </w:tr>
    </w:tbl>
    <w:p w14:paraId="042D2C58" w14:textId="77777777" w:rsidR="005237A1" w:rsidRDefault="005237A1" w:rsidP="00BA0F00">
      <w:pPr>
        <w:tabs>
          <w:tab w:val="left" w:pos="580"/>
        </w:tabs>
      </w:pPr>
    </w:p>
    <w:p w14:paraId="4FCFB8EF" w14:textId="77777777" w:rsidR="005237A1" w:rsidRDefault="005237A1" w:rsidP="00BA0F00">
      <w:pPr>
        <w:tabs>
          <w:tab w:val="left" w:pos="580"/>
        </w:tabs>
      </w:pPr>
    </w:p>
    <w:tbl>
      <w:tblPr>
        <w:tblStyle w:val="Tabelamre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819"/>
        <w:gridCol w:w="163"/>
        <w:gridCol w:w="4657"/>
      </w:tblGrid>
      <w:tr w:rsidR="00BA0F00" w14:paraId="57DD0FDE" w14:textId="77777777" w:rsidTr="6925969B">
        <w:trPr>
          <w:trHeight w:val="207"/>
        </w:trPr>
        <w:tc>
          <w:tcPr>
            <w:tcW w:w="4819" w:type="dxa"/>
            <w:tcBorders>
              <w:bottom w:val="single" w:sz="4" w:space="0" w:color="auto"/>
            </w:tcBorders>
            <w:tcMar>
              <w:left w:w="0" w:type="dxa"/>
            </w:tcMar>
          </w:tcPr>
          <w:p w14:paraId="03220379" w14:textId="4D52F8D5" w:rsidR="00BA0F00" w:rsidRPr="006C2117" w:rsidRDefault="00BA0F00" w:rsidP="0018081D">
            <w:pPr>
              <w:pStyle w:val="Naslov31"/>
              <w:jc w:val="left"/>
            </w:pPr>
            <w:r>
              <w:t xml:space="preserve">Activity in construction, October 2022 </w:t>
            </w:r>
          </w:p>
        </w:tc>
        <w:tc>
          <w:tcPr>
            <w:tcW w:w="4820" w:type="dxa"/>
            <w:gridSpan w:val="2"/>
            <w:tcBorders>
              <w:bottom w:val="single" w:sz="4" w:space="0" w:color="auto"/>
            </w:tcBorders>
          </w:tcPr>
          <w:p w14:paraId="4AEBEC82" w14:textId="77777777" w:rsidR="00BA0F00" w:rsidRPr="006C2117" w:rsidRDefault="00BA0F00" w:rsidP="0018081D">
            <w:pPr>
              <w:pStyle w:val="Naslov31"/>
            </w:pPr>
          </w:p>
        </w:tc>
      </w:tr>
      <w:tr w:rsidR="00BA0F00" w:rsidRPr="00916FC4" w14:paraId="1AC3CCED" w14:textId="77777777" w:rsidTr="6925969B">
        <w:trPr>
          <w:trHeight w:val="1134"/>
        </w:trPr>
        <w:tc>
          <w:tcPr>
            <w:tcW w:w="4982" w:type="dxa"/>
            <w:gridSpan w:val="2"/>
            <w:tcBorders>
              <w:top w:val="single" w:sz="4" w:space="0" w:color="auto"/>
            </w:tcBorders>
            <w:tcMar>
              <w:left w:w="0" w:type="dxa"/>
            </w:tcMar>
          </w:tcPr>
          <w:p w14:paraId="56B6A3EB" w14:textId="432CA008" w:rsidR="00BA0F00" w:rsidRDefault="00D6286F" w:rsidP="0018081D">
            <w:pPr>
              <w:pStyle w:val="Odstavekseznama"/>
              <w:ind w:left="0"/>
            </w:pPr>
            <w:r>
              <w:rPr>
                <w:noProof/>
              </w:rPr>
              <w:drawing>
                <wp:inline distT="0" distB="0" distL="0" distR="0" wp14:anchorId="688260CC" wp14:editId="22041D16">
                  <wp:extent cx="3099600" cy="2534400"/>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99600" cy="2534400"/>
                          </a:xfrm>
                          <a:prstGeom prst="rect">
                            <a:avLst/>
                          </a:prstGeom>
                          <a:noFill/>
                        </pic:spPr>
                      </pic:pic>
                    </a:graphicData>
                  </a:graphic>
                </wp:inline>
              </w:drawing>
            </w:r>
          </w:p>
        </w:tc>
        <w:tc>
          <w:tcPr>
            <w:tcW w:w="4657" w:type="dxa"/>
            <w:tcBorders>
              <w:top w:val="single" w:sz="4" w:space="0" w:color="auto"/>
            </w:tcBorders>
            <w:tcMar>
              <w:left w:w="284" w:type="dxa"/>
            </w:tcMar>
          </w:tcPr>
          <w:p w14:paraId="2982D220" w14:textId="2E0E3037" w:rsidR="00BA0F00" w:rsidRPr="00916FC4" w:rsidRDefault="036EAB16" w:rsidP="00692347">
            <w:pPr>
              <w:rPr>
                <w:color w:val="DBDBDB" w:themeColor="background2"/>
              </w:rPr>
            </w:pPr>
            <w:r>
              <w:rPr>
                <w:b/>
              </w:rPr>
              <w:t>According to figures on the value of construction work put in place, construction activity in October was considerably higher than last year.</w:t>
            </w:r>
            <w:r>
              <w:rPr>
                <w:b/>
                <w:sz w:val="18"/>
              </w:rPr>
              <w:t xml:space="preserve"> </w:t>
            </w:r>
            <w:r>
              <w:t>After a sharp upturn at the beginning of this year, the value of construction work remained roughly unchanged thereafter, before rising again in October, when it was 54.6% higher than in the same month of 2021. Compared to previous years, construction of buildings stands out in terms of activity. Activity was also high in civil engineering, while it was lower in specialised construction work (installation works, building completion). In the first ten months, construction activity was 29% higher year-on-year, while some other data point to much lower growth, with the difference being greatest in the last month. According to VAT data, the activity of construction companies in the first ten months was 6% higher than last year. Data on the value of industrial production in two activities traditionally strongly linked to construction also do not point to such high growth. Production in other mining and quarrying was only 3.9% higher in October than in the same month last year, while in the manufacture of other non-metallic mineral products it was 7.6% lower.</w:t>
            </w:r>
          </w:p>
        </w:tc>
      </w:tr>
    </w:tbl>
    <w:p w14:paraId="605FED92" w14:textId="77777777" w:rsidR="00093214" w:rsidRDefault="00093214">
      <w:pPr>
        <w:spacing w:after="160" w:line="259" w:lineRule="auto"/>
        <w:jc w:val="left"/>
      </w:pPr>
      <w:r>
        <w:br w:type="page"/>
      </w:r>
    </w:p>
    <w:tbl>
      <w:tblPr>
        <w:tblStyle w:val="Tabelamre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121"/>
        <w:gridCol w:w="4536"/>
      </w:tblGrid>
      <w:tr w:rsidR="00093214" w14:paraId="65A7CF6E" w14:textId="77777777" w:rsidTr="562B79E7">
        <w:trPr>
          <w:trHeight w:val="207"/>
        </w:trPr>
        <w:tc>
          <w:tcPr>
            <w:tcW w:w="5103" w:type="dxa"/>
            <w:gridSpan w:val="2"/>
            <w:tcBorders>
              <w:bottom w:val="single" w:sz="4" w:space="0" w:color="auto"/>
            </w:tcBorders>
            <w:tcMar>
              <w:left w:w="0" w:type="dxa"/>
            </w:tcMar>
          </w:tcPr>
          <w:p w14:paraId="744B837A" w14:textId="49EF0376" w:rsidR="00093214" w:rsidRPr="006C2117" w:rsidRDefault="00093214" w:rsidP="0018081D">
            <w:pPr>
              <w:pStyle w:val="Naslov31"/>
              <w:jc w:val="left"/>
            </w:pPr>
            <w:r>
              <w:lastRenderedPageBreak/>
              <w:t xml:space="preserve">Number of persons in employment, </w:t>
            </w:r>
            <w:r w:rsidR="002E7284">
              <w:t>October</w:t>
            </w:r>
            <w:r>
              <w:t xml:space="preserve"> 2022</w:t>
            </w:r>
          </w:p>
        </w:tc>
        <w:tc>
          <w:tcPr>
            <w:tcW w:w="4536" w:type="dxa"/>
            <w:tcBorders>
              <w:bottom w:val="single" w:sz="4" w:space="0" w:color="auto"/>
            </w:tcBorders>
          </w:tcPr>
          <w:p w14:paraId="0FFFDC01" w14:textId="77777777" w:rsidR="00093214" w:rsidRPr="006C2117" w:rsidRDefault="00093214" w:rsidP="0018081D">
            <w:pPr>
              <w:pStyle w:val="Naslov31"/>
            </w:pPr>
          </w:p>
        </w:tc>
      </w:tr>
      <w:tr w:rsidR="00093214" w14:paraId="2F612AD4" w14:textId="77777777" w:rsidTr="562B79E7">
        <w:trPr>
          <w:trHeight w:val="1134"/>
        </w:trPr>
        <w:tc>
          <w:tcPr>
            <w:tcW w:w="4982" w:type="dxa"/>
            <w:tcBorders>
              <w:top w:val="single" w:sz="4" w:space="0" w:color="auto"/>
            </w:tcBorders>
            <w:tcMar>
              <w:left w:w="0" w:type="dxa"/>
            </w:tcMar>
          </w:tcPr>
          <w:p w14:paraId="71CD8A39" w14:textId="548E162A" w:rsidR="00093214" w:rsidRDefault="00D6286F" w:rsidP="0018081D">
            <w:pPr>
              <w:pStyle w:val="Odstavekseznama"/>
              <w:ind w:left="0"/>
            </w:pPr>
            <w:r>
              <w:rPr>
                <w:noProof/>
              </w:rPr>
              <w:drawing>
                <wp:inline distT="0" distB="0" distL="0" distR="0" wp14:anchorId="6756D8F3" wp14:editId="69F535AD">
                  <wp:extent cx="3110400" cy="2516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10400" cy="2516400"/>
                          </a:xfrm>
                          <a:prstGeom prst="rect">
                            <a:avLst/>
                          </a:prstGeom>
                          <a:noFill/>
                        </pic:spPr>
                      </pic:pic>
                    </a:graphicData>
                  </a:graphic>
                </wp:inline>
              </w:drawing>
            </w:r>
          </w:p>
        </w:tc>
        <w:tc>
          <w:tcPr>
            <w:tcW w:w="4657" w:type="dxa"/>
            <w:gridSpan w:val="2"/>
            <w:tcBorders>
              <w:top w:val="single" w:sz="4" w:space="0" w:color="auto"/>
            </w:tcBorders>
            <w:tcMar>
              <w:left w:w="284" w:type="dxa"/>
            </w:tcMar>
          </w:tcPr>
          <w:p w14:paraId="753C8FAF" w14:textId="7F522A48" w:rsidR="00093214" w:rsidRPr="00DF4F0B" w:rsidRDefault="0B8BA41C" w:rsidP="0018081D">
            <w:pPr>
              <w:rPr>
                <w:color w:val="000000" w:themeColor="text1"/>
              </w:rPr>
            </w:pPr>
            <w:r>
              <w:rPr>
                <w:b/>
                <w:bCs/>
                <w:color w:val="000000" w:themeColor="text1"/>
              </w:rPr>
              <w:t>As the number of people in employment reached a record high, year-on-year growth was 2.1% in November, slightly lower than in previous months.</w:t>
            </w:r>
            <w:r>
              <w:rPr>
                <w:b/>
                <w:color w:val="000000" w:themeColor="text1"/>
              </w:rPr>
              <w:t xml:space="preserve"> </w:t>
            </w:r>
            <w:r>
              <w:rPr>
                <w:color w:val="000000" w:themeColor="text1"/>
              </w:rPr>
              <w:t>It remained high in construction, which faces major labour shortages. The employment of foreign workers has recently been increasingly contributing to overall growth in the number of people in employment – in October, foreign workers contributed 77% to year-on-year employment growth. Consequently, the share of foreign nationals among all persons in employment is also increasing, up 1.3 p.p. to 13.8% in the last year. Activities with the largest share of foreign workers are construction (47%), transportation and storage (32%) and administrative and support service activities (26%). In the first ten months, the number of people in employment rose by an average of 2.6% year-on-year.</w:t>
            </w:r>
          </w:p>
        </w:tc>
      </w:tr>
    </w:tbl>
    <w:p w14:paraId="4AB747D5" w14:textId="77777777" w:rsidR="00093214" w:rsidRDefault="00093214" w:rsidP="009C3DB0">
      <w:pPr>
        <w:tabs>
          <w:tab w:val="left" w:pos="580"/>
        </w:tabs>
      </w:pPr>
    </w:p>
    <w:p w14:paraId="124687A3" w14:textId="77777777" w:rsidR="009C3DB0" w:rsidRDefault="009C3DB0" w:rsidP="009C3DB0">
      <w:pPr>
        <w:tabs>
          <w:tab w:val="left" w:pos="580"/>
        </w:tabs>
      </w:pPr>
    </w:p>
    <w:p w14:paraId="22475C0D" w14:textId="77777777" w:rsidR="00FE7254" w:rsidRPr="00FE7254" w:rsidRDefault="00FE7254" w:rsidP="00FE7254">
      <w:pPr>
        <w:sectPr w:rsidR="00FE7254" w:rsidRPr="00FE7254" w:rsidSect="00363E63">
          <w:footerReference w:type="default" r:id="rId14"/>
          <w:headerReference w:type="first" r:id="rId15"/>
          <w:footerReference w:type="first" r:id="rId16"/>
          <w:type w:val="continuous"/>
          <w:pgSz w:w="11906" w:h="16838"/>
          <w:pgMar w:top="1134" w:right="1134" w:bottom="1021" w:left="1134" w:header="709" w:footer="397" w:gutter="0"/>
          <w:cols w:space="708"/>
          <w:titlePg/>
          <w:docGrid w:linePitch="360"/>
        </w:sectPr>
      </w:pPr>
    </w:p>
    <w:p w14:paraId="26A312A6" w14:textId="5EDFC1B5" w:rsidR="002E69B6" w:rsidRPr="00887D7E" w:rsidRDefault="00D6286F" w:rsidP="00C26C8D">
      <w:pPr>
        <w:tabs>
          <w:tab w:val="left" w:pos="580"/>
        </w:tabs>
      </w:pPr>
      <w:r w:rsidRPr="00D6286F">
        <w:rPr>
          <w:noProof/>
        </w:rPr>
        <w:lastRenderedPageBreak/>
        <w:drawing>
          <wp:inline distT="0" distB="0" distL="0" distR="0" wp14:anchorId="1B9F7344" wp14:editId="60201791">
            <wp:extent cx="6120130" cy="811784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117840"/>
                    </a:xfrm>
                    <a:prstGeom prst="rect">
                      <a:avLst/>
                    </a:prstGeom>
                    <a:noFill/>
                    <a:ln>
                      <a:noFill/>
                    </a:ln>
                  </pic:spPr>
                </pic:pic>
              </a:graphicData>
            </a:graphic>
          </wp:inline>
        </w:drawing>
      </w:r>
    </w:p>
    <w:sectPr w:rsidR="002E69B6" w:rsidRPr="00887D7E" w:rsidSect="00363E63">
      <w:headerReference w:type="default" r:id="rId18"/>
      <w:footerReference w:type="default" r:id="rId19"/>
      <w:pgSz w:w="11906" w:h="16838"/>
      <w:pgMar w:top="1134" w:right="1134" w:bottom="1021"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D3384" w14:textId="77777777" w:rsidR="00B95E76" w:rsidRDefault="00B95E76" w:rsidP="0063497B">
      <w:pPr>
        <w:spacing w:line="240" w:lineRule="auto"/>
      </w:pPr>
      <w:r>
        <w:separator/>
      </w:r>
    </w:p>
  </w:endnote>
  <w:endnote w:type="continuationSeparator" w:id="0">
    <w:p w14:paraId="720C43CF" w14:textId="77777777" w:rsidR="00B95E76" w:rsidRDefault="00B95E76" w:rsidP="0063497B">
      <w:pPr>
        <w:spacing w:line="240" w:lineRule="auto"/>
      </w:pPr>
      <w:r>
        <w:continuationSeparator/>
      </w:r>
    </w:p>
  </w:endnote>
  <w:endnote w:type="continuationNotice" w:id="1">
    <w:p w14:paraId="14860011" w14:textId="77777777" w:rsidR="00B95E76" w:rsidRDefault="00B95E7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8242D" w14:textId="532304C9" w:rsidR="009A0978" w:rsidRPr="00363E63" w:rsidRDefault="009A0978" w:rsidP="00363E63">
    <w:pPr>
      <w:pStyle w:val="Naslov31"/>
      <w:tabs>
        <w:tab w:val="right" w:pos="9638"/>
      </w:tabs>
      <w:jc w:val="left"/>
      <w:rPr>
        <w:b w:val="0"/>
        <w:sz w:val="18"/>
        <w:szCs w:val="18"/>
      </w:rPr>
    </w:pPr>
    <w:r>
      <w:rPr>
        <w:sz w:val="18"/>
      </w:rPr>
      <w:t>More information:</w:t>
    </w:r>
    <w:r>
      <w:rPr>
        <w:rStyle w:val="Naslov3Char"/>
        <w:b/>
        <w:sz w:val="18"/>
      </w:rPr>
      <w:t xml:space="preserve"> </w:t>
    </w:r>
    <w:r>
      <w:rPr>
        <w:b w:val="0"/>
        <w:sz w:val="18"/>
      </w:rPr>
      <w:t xml:space="preserve">phone: +386 1 478 10 04, e-mail: </w:t>
    </w:r>
    <w:hyperlink r:id="rId1" w:history="1">
      <w:r>
        <w:rPr>
          <w:rStyle w:val="Hiperpovezava"/>
          <w:b w:val="0"/>
          <w:color w:val="auto"/>
          <w:sz w:val="18"/>
          <w:u w:val="none"/>
        </w:rPr>
        <w:t>polona.osrajnik@gov.si</w:t>
      </w:r>
    </w:hyperlink>
    <w:r>
      <w:rPr>
        <w:b w:val="0"/>
        <w:sz w:val="18"/>
      </w:rPr>
      <w:tab/>
    </w:r>
    <w:r>
      <w:rPr>
        <w:sz w:val="18"/>
      </w:rPr>
      <w:t xml:space="preserve"> </w:t>
    </w:r>
    <w:sdt>
      <w:sdtPr>
        <w:rPr>
          <w:sz w:val="18"/>
          <w:szCs w:val="18"/>
        </w:rPr>
        <w:id w:val="-652685202"/>
        <w:docPartObj>
          <w:docPartGallery w:val="Page Numbers (Bottom of Page)"/>
          <w:docPartUnique/>
        </w:docPartObj>
      </w:sdtPr>
      <w:sdtEndPr/>
      <w:sdtContent>
        <w:r w:rsidRPr="00363E63">
          <w:rPr>
            <w:sz w:val="18"/>
          </w:rPr>
          <w:fldChar w:fldCharType="begin"/>
        </w:r>
        <w:r w:rsidRPr="00363E63">
          <w:rPr>
            <w:sz w:val="18"/>
          </w:rPr>
          <w:instrText>PAGE   \* MERGEFORMAT</w:instrText>
        </w:r>
        <w:r w:rsidRPr="00363E63">
          <w:rPr>
            <w:sz w:val="18"/>
          </w:rPr>
          <w:fldChar w:fldCharType="separate"/>
        </w:r>
        <w:r>
          <w:rPr>
            <w:sz w:val="18"/>
          </w:rPr>
          <w:t>1</w:t>
        </w:r>
        <w:r w:rsidRPr="00363E63">
          <w:rPr>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29913" w14:textId="017B7F72" w:rsidR="009A0978" w:rsidRPr="00363E63" w:rsidRDefault="009A0978" w:rsidP="00363E63">
    <w:pPr>
      <w:pStyle w:val="Naslov31"/>
      <w:tabs>
        <w:tab w:val="right" w:pos="9638"/>
      </w:tabs>
      <w:jc w:val="left"/>
      <w:rPr>
        <w:b w:val="0"/>
        <w:sz w:val="18"/>
        <w:szCs w:val="18"/>
      </w:rPr>
    </w:pPr>
    <w:r>
      <w:rPr>
        <w:sz w:val="18"/>
      </w:rPr>
      <w:t>More information:</w:t>
    </w:r>
    <w:r>
      <w:rPr>
        <w:rStyle w:val="Naslov3Char"/>
        <w:b/>
        <w:sz w:val="18"/>
      </w:rPr>
      <w:t xml:space="preserve"> </w:t>
    </w:r>
    <w:r>
      <w:rPr>
        <w:b w:val="0"/>
        <w:sz w:val="18"/>
      </w:rPr>
      <w:t xml:space="preserve">phone: +386 1 478 10 04, e-mail: </w:t>
    </w:r>
    <w:hyperlink r:id="rId1" w:history="1">
      <w:r>
        <w:rPr>
          <w:rStyle w:val="Hiperpovezava"/>
          <w:b w:val="0"/>
          <w:color w:val="auto"/>
          <w:sz w:val="18"/>
          <w:u w:val="none"/>
        </w:rPr>
        <w:t>polona.osrajnik@gov.si</w:t>
      </w:r>
    </w:hyperlink>
    <w:r>
      <w:rPr>
        <w:b w:val="0"/>
        <w:sz w:val="18"/>
      </w:rPr>
      <w:tab/>
    </w:r>
    <w:r>
      <w:rPr>
        <w:sz w:val="18"/>
      </w:rPr>
      <w:t xml:space="preserve"> </w:t>
    </w:r>
    <w:sdt>
      <w:sdtPr>
        <w:rPr>
          <w:sz w:val="18"/>
          <w:szCs w:val="18"/>
        </w:rPr>
        <w:id w:val="-89402759"/>
        <w:docPartObj>
          <w:docPartGallery w:val="Page Numbers (Bottom of Page)"/>
          <w:docPartUnique/>
        </w:docPartObj>
      </w:sdtPr>
      <w:sdtEndPr/>
      <w:sdtContent>
        <w:r w:rsidRPr="00363E63">
          <w:rPr>
            <w:sz w:val="18"/>
          </w:rPr>
          <w:fldChar w:fldCharType="begin"/>
        </w:r>
        <w:r w:rsidRPr="00363E63">
          <w:rPr>
            <w:sz w:val="18"/>
          </w:rPr>
          <w:instrText>PAGE   \* MERGEFORMAT</w:instrText>
        </w:r>
        <w:r w:rsidRPr="00363E63">
          <w:rPr>
            <w:sz w:val="18"/>
          </w:rPr>
          <w:fldChar w:fldCharType="separate"/>
        </w:r>
        <w:r w:rsidRPr="00363E63">
          <w:rPr>
            <w:sz w:val="18"/>
          </w:rPr>
          <w:t>1</w:t>
        </w:r>
        <w:r w:rsidRPr="00363E63">
          <w:rPr>
            <w:sz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DBB8D" w14:textId="77777777" w:rsidR="009A0978" w:rsidRPr="00C26C8D" w:rsidRDefault="009A0978" w:rsidP="00C26C8D">
    <w:pPr>
      <w:pStyle w:val="Naslov31"/>
      <w:tabs>
        <w:tab w:val="right" w:pos="9638"/>
      </w:tabs>
      <w:jc w:val="left"/>
      <w:rPr>
        <w:b w:val="0"/>
        <w:sz w:val="18"/>
        <w:szCs w:val="18"/>
      </w:rPr>
    </w:pPr>
    <w:r>
      <w:rPr>
        <w:b w:val="0"/>
        <w:sz w:val="18"/>
      </w:rPr>
      <w:t>The table format accessible to screen reader users can be found on the IMAD website among the appendices to the current graphs of the week (Selected macroeconomic indicators for Slovenia).</w:t>
    </w:r>
  </w:p>
  <w:p w14:paraId="67C0D3BB" w14:textId="77777777" w:rsidR="009A0978" w:rsidRPr="00C26C8D" w:rsidRDefault="009A0978" w:rsidP="00C26C8D">
    <w:pPr>
      <w:pStyle w:val="Naslov31"/>
      <w:tabs>
        <w:tab w:val="right" w:pos="9638"/>
      </w:tabs>
      <w:jc w:val="left"/>
      <w:rPr>
        <w:b w:val="0"/>
        <w:sz w:val="18"/>
        <w:szCs w:val="18"/>
      </w:rPr>
    </w:pPr>
  </w:p>
  <w:p w14:paraId="6B87A005" w14:textId="77777777" w:rsidR="009A0978" w:rsidRPr="00363E63" w:rsidRDefault="009A0978" w:rsidP="00C26C8D">
    <w:pPr>
      <w:pStyle w:val="Naslov31"/>
      <w:tabs>
        <w:tab w:val="right" w:pos="9638"/>
      </w:tabs>
      <w:jc w:val="left"/>
      <w:rPr>
        <w:b w:val="0"/>
        <w:sz w:val="18"/>
        <w:szCs w:val="18"/>
      </w:rPr>
    </w:pPr>
    <w:r>
      <w:rPr>
        <w:sz w:val="18"/>
      </w:rPr>
      <w:t xml:space="preserve">More information: </w:t>
    </w:r>
    <w:r>
      <w:rPr>
        <w:b w:val="0"/>
        <w:sz w:val="18"/>
      </w:rPr>
      <w:t>phone: +386 1 478 10 04, e-mail: polona.osrajnik@gov.si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EC6D0" w14:textId="77777777" w:rsidR="00B95E76" w:rsidRDefault="00B95E76" w:rsidP="0063497B">
      <w:pPr>
        <w:spacing w:line="240" w:lineRule="auto"/>
      </w:pPr>
      <w:r>
        <w:separator/>
      </w:r>
    </w:p>
  </w:footnote>
  <w:footnote w:type="continuationSeparator" w:id="0">
    <w:p w14:paraId="6CB9A923" w14:textId="77777777" w:rsidR="00B95E76" w:rsidRDefault="00B95E76" w:rsidP="0063497B">
      <w:pPr>
        <w:spacing w:line="240" w:lineRule="auto"/>
      </w:pPr>
      <w:r>
        <w:continuationSeparator/>
      </w:r>
    </w:p>
  </w:footnote>
  <w:footnote w:type="continuationNotice" w:id="1">
    <w:p w14:paraId="2CB1BE91" w14:textId="77777777" w:rsidR="00B95E76" w:rsidRDefault="00B95E76">
      <w:pPr>
        <w:spacing w:line="240" w:lineRule="auto"/>
      </w:pPr>
    </w:p>
  </w:footnote>
  <w:footnote w:id="2">
    <w:p w14:paraId="0472F0C9" w14:textId="77777777" w:rsidR="00BF2D20" w:rsidRDefault="00BF2D20" w:rsidP="00BF2D20">
      <w:pPr>
        <w:pStyle w:val="Sprotnaopomba-besedilo"/>
      </w:pPr>
      <w:r>
        <w:rPr>
          <w:rStyle w:val="Sprotnaopomba-sklic"/>
        </w:rPr>
        <w:footnoteRef/>
      </w:r>
      <w:r>
        <w:t xml:space="preserve"> In accordance with Council Regulation (EU) 2022/1369 of 5 August 2022 on coordinated demand-reduction measures for gas, in the period from 1 August 2022 to 31 March 2023 all EU Member States have to reduce their gas consumption by at least 15% compared to their average consumption in the same period over the last five years.</w:t>
      </w:r>
    </w:p>
  </w:footnote>
  <w:footnote w:id="3">
    <w:p w14:paraId="488C0D96" w14:textId="77777777" w:rsidR="00BF2D20" w:rsidRDefault="00BF2D20" w:rsidP="00BF2D20">
      <w:pPr>
        <w:pStyle w:val="Sprotnaopomba-besedilo"/>
      </w:pPr>
      <w:r>
        <w:rPr>
          <w:rStyle w:val="Sprotnaopomba-sklic"/>
        </w:rPr>
        <w:footnoteRef/>
      </w:r>
      <w:r>
        <w:t xml:space="preserve"> According to SURS data, in 2021 most of the gas in Slovenia, 62%, was consumed directly in manufacturing and construction, 15% in households and the rest mainly for the production of heat and electricity.</w:t>
      </w:r>
    </w:p>
  </w:footnote>
  <w:footnote w:id="4">
    <w:p w14:paraId="57FBA44F" w14:textId="77777777" w:rsidR="00AE4AFE" w:rsidRDefault="00AE4AFE" w:rsidP="00AE4AFE">
      <w:pPr>
        <w:pStyle w:val="Sprotnaopomba-besedilo"/>
      </w:pPr>
      <w:r>
        <w:rPr>
          <w:rStyle w:val="Sprotnaopomba-sklic"/>
        </w:rPr>
        <w:footnoteRef/>
      </w:r>
      <w:r>
        <w:t xml:space="preserve"> According to Plinovodi, gas storage capacities in the EU were 95.5% full on 12 November 2022, but then this percentage began to fall slightly, reaching 88.5% on 10 December.</w:t>
      </w:r>
    </w:p>
  </w:footnote>
  <w:footnote w:id="5">
    <w:p w14:paraId="6150F917" w14:textId="77777777" w:rsidR="00054692" w:rsidRPr="002B5CA3" w:rsidRDefault="00054692" w:rsidP="00054692">
      <w:pPr>
        <w:pStyle w:val="Sprotnaopomba-besedilo"/>
        <w:rPr>
          <w:sz w:val="18"/>
        </w:rPr>
      </w:pPr>
      <w:r>
        <w:rPr>
          <w:rStyle w:val="Sprotnaopomba-sklic"/>
        </w:rPr>
        <w:footnoteRef/>
      </w:r>
      <w:r>
        <w:t xml:space="preserve"> After the vaccinated/tested/recovered rule had been extended to users of most services in September, the containment measures were tightened last November. </w:t>
      </w:r>
      <w:r>
        <w:rPr>
          <w:color w:val="000000" w:themeColor="text1"/>
        </w:rPr>
        <w:t>The opening hours of hotels and restaurants were restricted, nightclubs, bars and other venues offering music were closed, gatherings were restricted, proof of compliance with the vaccinated/tested/recovered rule was required in combination with an identity document,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0A66C" w14:textId="52EF8EB8" w:rsidR="009A0978" w:rsidRDefault="009A0978" w:rsidP="00652795">
    <w:pPr>
      <w:jc w:val="right"/>
    </w:pPr>
    <w:r>
      <w:rPr>
        <w:noProof/>
      </w:rPr>
      <w:drawing>
        <wp:anchor distT="0" distB="0" distL="114300" distR="114300" simplePos="0" relativeHeight="251658240" behindDoc="0" locked="0" layoutInCell="1" allowOverlap="1" wp14:anchorId="254C5F65" wp14:editId="4ADD8BF1">
          <wp:simplePos x="0" y="0"/>
          <wp:positionH relativeFrom="column">
            <wp:posOffset>-313690</wp:posOffset>
          </wp:positionH>
          <wp:positionV relativeFrom="paragraph">
            <wp:posOffset>60960</wp:posOffset>
          </wp:positionV>
          <wp:extent cx="1155700" cy="1002030"/>
          <wp:effectExtent l="0" t="0" r="6350" b="762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UMAR logo"/>
                  <pic:cNvPicPr/>
                </pic:nvPicPr>
                <pic:blipFill>
                  <a:blip r:embed="rId1">
                    <a:extLst>
                      <a:ext uri="{28A0092B-C50C-407E-A947-70E740481C1C}">
                        <a14:useLocalDpi xmlns:a14="http://schemas.microsoft.com/office/drawing/2010/main" val="0"/>
                      </a:ext>
                    </a:extLst>
                  </a:blip>
                  <a:stretch>
                    <a:fillRect/>
                  </a:stretch>
                </pic:blipFill>
                <pic:spPr>
                  <a:xfrm>
                    <a:off x="0" y="0"/>
                    <a:ext cx="1155700" cy="1002030"/>
                  </a:xfrm>
                  <a:prstGeom prst="rect">
                    <a:avLst/>
                  </a:prstGeom>
                </pic:spPr>
              </pic:pic>
            </a:graphicData>
          </a:graphic>
          <wp14:sizeRelH relativeFrom="margin">
            <wp14:pctWidth>0</wp14:pctWidth>
          </wp14:sizeRelH>
          <wp14:sizeRelV relativeFrom="margin">
            <wp14:pctHeight>0</wp14:pctHeight>
          </wp14:sizeRelV>
        </wp:anchor>
      </w:drawing>
    </w:r>
    <w:r>
      <w:t>19 December 2022</w:t>
    </w:r>
  </w:p>
  <w:p w14:paraId="4BCD6FCD" w14:textId="77777777" w:rsidR="009A0978" w:rsidRDefault="009A0978" w:rsidP="00FE7254">
    <w:pPr>
      <w:jc w:val="right"/>
    </w:pPr>
  </w:p>
  <w:p w14:paraId="2346E65D" w14:textId="77777777" w:rsidR="009A0978" w:rsidRDefault="009A0978" w:rsidP="00FE7254">
    <w:pPr>
      <w:jc w:val="right"/>
    </w:pPr>
  </w:p>
  <w:p w14:paraId="72003DEC" w14:textId="77777777" w:rsidR="009A0978" w:rsidRDefault="009A0978" w:rsidP="00FE7254">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0F943" w14:textId="77777777" w:rsidR="009A0978" w:rsidRPr="00C26C8D" w:rsidRDefault="009A0978" w:rsidP="00C26C8D">
    <w:pPr>
      <w:pStyle w:val="Glava"/>
      <w:rPr>
        <w:b/>
      </w:rPr>
    </w:pPr>
    <w:r>
      <w:rPr>
        <w:b/>
      </w:rPr>
      <w:t>Table: Selected macroeconomic indicators for Slovenia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54D5F"/>
    <w:multiLevelType w:val="hybridMultilevel"/>
    <w:tmpl w:val="20862290"/>
    <w:lvl w:ilvl="0" w:tplc="63DA2180">
      <w:start w:val="1"/>
      <w:numFmt w:val="bullet"/>
      <w:pStyle w:val="Besedilomanjealineje"/>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B2C16DD"/>
    <w:multiLevelType w:val="hybridMultilevel"/>
    <w:tmpl w:val="56B4C2AA"/>
    <w:lvl w:ilvl="0" w:tplc="B0B23E72">
      <w:start w:val="1"/>
      <w:numFmt w:val="bullet"/>
      <w:lvlText w:val=""/>
      <w:lvlJc w:val="left"/>
      <w:pPr>
        <w:tabs>
          <w:tab w:val="num" w:pos="720"/>
        </w:tabs>
        <w:ind w:left="720" w:hanging="360"/>
      </w:pPr>
      <w:rPr>
        <w:rFonts w:ascii="Symbol" w:hAnsi="Symbol" w:hint="default"/>
      </w:rPr>
    </w:lvl>
    <w:lvl w:ilvl="1" w:tplc="A6BC04BE" w:tentative="1">
      <w:start w:val="1"/>
      <w:numFmt w:val="bullet"/>
      <w:lvlText w:val=""/>
      <w:lvlJc w:val="left"/>
      <w:pPr>
        <w:tabs>
          <w:tab w:val="num" w:pos="1440"/>
        </w:tabs>
        <w:ind w:left="1440" w:hanging="360"/>
      </w:pPr>
      <w:rPr>
        <w:rFonts w:ascii="Symbol" w:hAnsi="Symbol" w:hint="default"/>
      </w:rPr>
    </w:lvl>
    <w:lvl w:ilvl="2" w:tplc="3EA8379E" w:tentative="1">
      <w:start w:val="1"/>
      <w:numFmt w:val="bullet"/>
      <w:lvlText w:val=""/>
      <w:lvlJc w:val="left"/>
      <w:pPr>
        <w:tabs>
          <w:tab w:val="num" w:pos="2160"/>
        </w:tabs>
        <w:ind w:left="2160" w:hanging="360"/>
      </w:pPr>
      <w:rPr>
        <w:rFonts w:ascii="Symbol" w:hAnsi="Symbol" w:hint="default"/>
      </w:rPr>
    </w:lvl>
    <w:lvl w:ilvl="3" w:tplc="003E917A" w:tentative="1">
      <w:start w:val="1"/>
      <w:numFmt w:val="bullet"/>
      <w:lvlText w:val=""/>
      <w:lvlJc w:val="left"/>
      <w:pPr>
        <w:tabs>
          <w:tab w:val="num" w:pos="2880"/>
        </w:tabs>
        <w:ind w:left="2880" w:hanging="360"/>
      </w:pPr>
      <w:rPr>
        <w:rFonts w:ascii="Symbol" w:hAnsi="Symbol" w:hint="default"/>
      </w:rPr>
    </w:lvl>
    <w:lvl w:ilvl="4" w:tplc="7AD01B9C" w:tentative="1">
      <w:start w:val="1"/>
      <w:numFmt w:val="bullet"/>
      <w:lvlText w:val=""/>
      <w:lvlJc w:val="left"/>
      <w:pPr>
        <w:tabs>
          <w:tab w:val="num" w:pos="3600"/>
        </w:tabs>
        <w:ind w:left="3600" w:hanging="360"/>
      </w:pPr>
      <w:rPr>
        <w:rFonts w:ascii="Symbol" w:hAnsi="Symbol" w:hint="default"/>
      </w:rPr>
    </w:lvl>
    <w:lvl w:ilvl="5" w:tplc="AA26F350" w:tentative="1">
      <w:start w:val="1"/>
      <w:numFmt w:val="bullet"/>
      <w:lvlText w:val=""/>
      <w:lvlJc w:val="left"/>
      <w:pPr>
        <w:tabs>
          <w:tab w:val="num" w:pos="4320"/>
        </w:tabs>
        <w:ind w:left="4320" w:hanging="360"/>
      </w:pPr>
      <w:rPr>
        <w:rFonts w:ascii="Symbol" w:hAnsi="Symbol" w:hint="default"/>
      </w:rPr>
    </w:lvl>
    <w:lvl w:ilvl="6" w:tplc="0DE0C0C2" w:tentative="1">
      <w:start w:val="1"/>
      <w:numFmt w:val="bullet"/>
      <w:lvlText w:val=""/>
      <w:lvlJc w:val="left"/>
      <w:pPr>
        <w:tabs>
          <w:tab w:val="num" w:pos="5040"/>
        </w:tabs>
        <w:ind w:left="5040" w:hanging="360"/>
      </w:pPr>
      <w:rPr>
        <w:rFonts w:ascii="Symbol" w:hAnsi="Symbol" w:hint="default"/>
      </w:rPr>
    </w:lvl>
    <w:lvl w:ilvl="7" w:tplc="73E484B2" w:tentative="1">
      <w:start w:val="1"/>
      <w:numFmt w:val="bullet"/>
      <w:lvlText w:val=""/>
      <w:lvlJc w:val="left"/>
      <w:pPr>
        <w:tabs>
          <w:tab w:val="num" w:pos="5760"/>
        </w:tabs>
        <w:ind w:left="5760" w:hanging="360"/>
      </w:pPr>
      <w:rPr>
        <w:rFonts w:ascii="Symbol" w:hAnsi="Symbol" w:hint="default"/>
      </w:rPr>
    </w:lvl>
    <w:lvl w:ilvl="8" w:tplc="4094F1A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defaultTabStop w:val="170"/>
  <w:hyphenationZone w:val="425"/>
  <w:drawingGridHorizontalSpacing w:val="4933"/>
  <w:drawingGridVerticalSpacing w:val="3118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C57"/>
    <w:rsid w:val="00001002"/>
    <w:rsid w:val="00004D56"/>
    <w:rsid w:val="00005E4B"/>
    <w:rsid w:val="00006CDC"/>
    <w:rsid w:val="00014A64"/>
    <w:rsid w:val="00016923"/>
    <w:rsid w:val="00021B8C"/>
    <w:rsid w:val="00022B08"/>
    <w:rsid w:val="0002391A"/>
    <w:rsid w:val="00024EF0"/>
    <w:rsid w:val="000257A3"/>
    <w:rsid w:val="00026AAA"/>
    <w:rsid w:val="000407E8"/>
    <w:rsid w:val="00041021"/>
    <w:rsid w:val="0004116E"/>
    <w:rsid w:val="000425EA"/>
    <w:rsid w:val="00043EC7"/>
    <w:rsid w:val="0004410D"/>
    <w:rsid w:val="0005322C"/>
    <w:rsid w:val="00054458"/>
    <w:rsid w:val="00054692"/>
    <w:rsid w:val="00055BD4"/>
    <w:rsid w:val="00060808"/>
    <w:rsid w:val="00061F03"/>
    <w:rsid w:val="00062E0D"/>
    <w:rsid w:val="00064E87"/>
    <w:rsid w:val="00065B72"/>
    <w:rsid w:val="00066060"/>
    <w:rsid w:val="00070313"/>
    <w:rsid w:val="000703C7"/>
    <w:rsid w:val="00070B6E"/>
    <w:rsid w:val="00071007"/>
    <w:rsid w:val="00073C2B"/>
    <w:rsid w:val="00077F13"/>
    <w:rsid w:val="000802F5"/>
    <w:rsid w:val="00083B7F"/>
    <w:rsid w:val="00087E6A"/>
    <w:rsid w:val="00092592"/>
    <w:rsid w:val="00093214"/>
    <w:rsid w:val="00096101"/>
    <w:rsid w:val="00097DD5"/>
    <w:rsid w:val="000A5A42"/>
    <w:rsid w:val="000A6A64"/>
    <w:rsid w:val="000A7BDC"/>
    <w:rsid w:val="000B2332"/>
    <w:rsid w:val="000B2627"/>
    <w:rsid w:val="000B5B96"/>
    <w:rsid w:val="000C450B"/>
    <w:rsid w:val="000C5DFC"/>
    <w:rsid w:val="000D3F8B"/>
    <w:rsid w:val="000D4661"/>
    <w:rsid w:val="000D7845"/>
    <w:rsid w:val="000E0B03"/>
    <w:rsid w:val="000E0C96"/>
    <w:rsid w:val="000F18E2"/>
    <w:rsid w:val="000F5315"/>
    <w:rsid w:val="00101E8B"/>
    <w:rsid w:val="00110B3C"/>
    <w:rsid w:val="00111DFE"/>
    <w:rsid w:val="00112B3E"/>
    <w:rsid w:val="00115501"/>
    <w:rsid w:val="00115E8D"/>
    <w:rsid w:val="00116668"/>
    <w:rsid w:val="00120162"/>
    <w:rsid w:val="00123A5A"/>
    <w:rsid w:val="00123D52"/>
    <w:rsid w:val="001255CD"/>
    <w:rsid w:val="0012725B"/>
    <w:rsid w:val="00127822"/>
    <w:rsid w:val="00133E20"/>
    <w:rsid w:val="0014161A"/>
    <w:rsid w:val="00150890"/>
    <w:rsid w:val="00150D0F"/>
    <w:rsid w:val="001557F1"/>
    <w:rsid w:val="0016111E"/>
    <w:rsid w:val="00161807"/>
    <w:rsid w:val="00162E99"/>
    <w:rsid w:val="00167096"/>
    <w:rsid w:val="00170703"/>
    <w:rsid w:val="00175B27"/>
    <w:rsid w:val="00176407"/>
    <w:rsid w:val="0018081D"/>
    <w:rsid w:val="00181CF5"/>
    <w:rsid w:val="00182319"/>
    <w:rsid w:val="001847BE"/>
    <w:rsid w:val="00187DC1"/>
    <w:rsid w:val="00190B5F"/>
    <w:rsid w:val="0019138D"/>
    <w:rsid w:val="00191F0E"/>
    <w:rsid w:val="00192B58"/>
    <w:rsid w:val="001A0B7D"/>
    <w:rsid w:val="001A0C6A"/>
    <w:rsid w:val="001A0C98"/>
    <w:rsid w:val="001A3E47"/>
    <w:rsid w:val="001A656B"/>
    <w:rsid w:val="001B475E"/>
    <w:rsid w:val="001B6AE7"/>
    <w:rsid w:val="001B6FAE"/>
    <w:rsid w:val="001B7402"/>
    <w:rsid w:val="001C03A0"/>
    <w:rsid w:val="001C2D69"/>
    <w:rsid w:val="001C3E55"/>
    <w:rsid w:val="001D1DF5"/>
    <w:rsid w:val="001D2917"/>
    <w:rsid w:val="001D3E77"/>
    <w:rsid w:val="001D6793"/>
    <w:rsid w:val="001D76BE"/>
    <w:rsid w:val="001E3587"/>
    <w:rsid w:val="001E3956"/>
    <w:rsid w:val="001E66B1"/>
    <w:rsid w:val="001F4E8F"/>
    <w:rsid w:val="001F51CD"/>
    <w:rsid w:val="001F5764"/>
    <w:rsid w:val="002040EA"/>
    <w:rsid w:val="0020683D"/>
    <w:rsid w:val="00213015"/>
    <w:rsid w:val="00215DA0"/>
    <w:rsid w:val="002220F4"/>
    <w:rsid w:val="0022245A"/>
    <w:rsid w:val="002229E0"/>
    <w:rsid w:val="00222F75"/>
    <w:rsid w:val="0022644C"/>
    <w:rsid w:val="00226C04"/>
    <w:rsid w:val="002362D3"/>
    <w:rsid w:val="00236656"/>
    <w:rsid w:val="002374F8"/>
    <w:rsid w:val="0024091B"/>
    <w:rsid w:val="0024119A"/>
    <w:rsid w:val="00242C71"/>
    <w:rsid w:val="0024323E"/>
    <w:rsid w:val="00243593"/>
    <w:rsid w:val="0024378B"/>
    <w:rsid w:val="002461D2"/>
    <w:rsid w:val="00246CF1"/>
    <w:rsid w:val="002511CF"/>
    <w:rsid w:val="00252E25"/>
    <w:rsid w:val="00253AF0"/>
    <w:rsid w:val="002540FD"/>
    <w:rsid w:val="002551D9"/>
    <w:rsid w:val="00255F95"/>
    <w:rsid w:val="0026341B"/>
    <w:rsid w:val="00263CDF"/>
    <w:rsid w:val="0026509A"/>
    <w:rsid w:val="00271747"/>
    <w:rsid w:val="0027286B"/>
    <w:rsid w:val="00274D3F"/>
    <w:rsid w:val="0028665C"/>
    <w:rsid w:val="00290CA7"/>
    <w:rsid w:val="00291679"/>
    <w:rsid w:val="0029405F"/>
    <w:rsid w:val="00296BEC"/>
    <w:rsid w:val="002A62E5"/>
    <w:rsid w:val="002B025E"/>
    <w:rsid w:val="002B058F"/>
    <w:rsid w:val="002B113D"/>
    <w:rsid w:val="002B4319"/>
    <w:rsid w:val="002B4C3A"/>
    <w:rsid w:val="002B5361"/>
    <w:rsid w:val="002B617D"/>
    <w:rsid w:val="002B67C9"/>
    <w:rsid w:val="002C5AFE"/>
    <w:rsid w:val="002C75CC"/>
    <w:rsid w:val="002D46EF"/>
    <w:rsid w:val="002D753B"/>
    <w:rsid w:val="002D77C5"/>
    <w:rsid w:val="002E20DD"/>
    <w:rsid w:val="002E64A4"/>
    <w:rsid w:val="002E655C"/>
    <w:rsid w:val="002E69B6"/>
    <w:rsid w:val="002E6F0D"/>
    <w:rsid w:val="002E6FAD"/>
    <w:rsid w:val="002E7284"/>
    <w:rsid w:val="002F00BB"/>
    <w:rsid w:val="002F0448"/>
    <w:rsid w:val="002F45CB"/>
    <w:rsid w:val="00301B51"/>
    <w:rsid w:val="00305883"/>
    <w:rsid w:val="00306767"/>
    <w:rsid w:val="00312D09"/>
    <w:rsid w:val="003159CC"/>
    <w:rsid w:val="00325655"/>
    <w:rsid w:val="0032707E"/>
    <w:rsid w:val="00327AF7"/>
    <w:rsid w:val="0033042F"/>
    <w:rsid w:val="003305D2"/>
    <w:rsid w:val="00330DEB"/>
    <w:rsid w:val="00331DD6"/>
    <w:rsid w:val="00333B2F"/>
    <w:rsid w:val="0034156F"/>
    <w:rsid w:val="00342F7A"/>
    <w:rsid w:val="0034385F"/>
    <w:rsid w:val="003443B1"/>
    <w:rsid w:val="00345706"/>
    <w:rsid w:val="00346E79"/>
    <w:rsid w:val="00350999"/>
    <w:rsid w:val="00350A64"/>
    <w:rsid w:val="003524EB"/>
    <w:rsid w:val="00355359"/>
    <w:rsid w:val="0035658B"/>
    <w:rsid w:val="00356832"/>
    <w:rsid w:val="00363E63"/>
    <w:rsid w:val="003640E5"/>
    <w:rsid w:val="00364A8F"/>
    <w:rsid w:val="00365D68"/>
    <w:rsid w:val="00366D68"/>
    <w:rsid w:val="00371828"/>
    <w:rsid w:val="00374467"/>
    <w:rsid w:val="00374B90"/>
    <w:rsid w:val="0037709E"/>
    <w:rsid w:val="00380056"/>
    <w:rsid w:val="00381F22"/>
    <w:rsid w:val="003831A6"/>
    <w:rsid w:val="0038500A"/>
    <w:rsid w:val="00386C31"/>
    <w:rsid w:val="00390947"/>
    <w:rsid w:val="00394109"/>
    <w:rsid w:val="00394FBC"/>
    <w:rsid w:val="00396859"/>
    <w:rsid w:val="003974F8"/>
    <w:rsid w:val="003A1B12"/>
    <w:rsid w:val="003A23E4"/>
    <w:rsid w:val="003A26B5"/>
    <w:rsid w:val="003A49D8"/>
    <w:rsid w:val="003B14A1"/>
    <w:rsid w:val="003B55C2"/>
    <w:rsid w:val="003B76CF"/>
    <w:rsid w:val="003B7B25"/>
    <w:rsid w:val="003C0556"/>
    <w:rsid w:val="003C1005"/>
    <w:rsid w:val="003C2454"/>
    <w:rsid w:val="003C3C52"/>
    <w:rsid w:val="003C44D9"/>
    <w:rsid w:val="003C4E6F"/>
    <w:rsid w:val="003C614E"/>
    <w:rsid w:val="003C6951"/>
    <w:rsid w:val="003D0FA7"/>
    <w:rsid w:val="003D1203"/>
    <w:rsid w:val="003D2CFA"/>
    <w:rsid w:val="003D3D5B"/>
    <w:rsid w:val="003D58DF"/>
    <w:rsid w:val="003E0230"/>
    <w:rsid w:val="003E5239"/>
    <w:rsid w:val="003E5ADA"/>
    <w:rsid w:val="003E5C15"/>
    <w:rsid w:val="003E64D6"/>
    <w:rsid w:val="003F30E4"/>
    <w:rsid w:val="003F4C1B"/>
    <w:rsid w:val="004041D4"/>
    <w:rsid w:val="0040719E"/>
    <w:rsid w:val="004079CD"/>
    <w:rsid w:val="004123A3"/>
    <w:rsid w:val="00415098"/>
    <w:rsid w:val="004204B9"/>
    <w:rsid w:val="004255B4"/>
    <w:rsid w:val="004271E0"/>
    <w:rsid w:val="00431E69"/>
    <w:rsid w:val="00431EDD"/>
    <w:rsid w:val="004351F9"/>
    <w:rsid w:val="004368FB"/>
    <w:rsid w:val="00444120"/>
    <w:rsid w:val="00445954"/>
    <w:rsid w:val="00446303"/>
    <w:rsid w:val="0044650F"/>
    <w:rsid w:val="00452589"/>
    <w:rsid w:val="00452804"/>
    <w:rsid w:val="004533D3"/>
    <w:rsid w:val="0045444B"/>
    <w:rsid w:val="00454E68"/>
    <w:rsid w:val="00455141"/>
    <w:rsid w:val="00461BCB"/>
    <w:rsid w:val="00462BA6"/>
    <w:rsid w:val="004636A5"/>
    <w:rsid w:val="00464D01"/>
    <w:rsid w:val="00467144"/>
    <w:rsid w:val="0046726B"/>
    <w:rsid w:val="00467D2C"/>
    <w:rsid w:val="004712B8"/>
    <w:rsid w:val="004729A1"/>
    <w:rsid w:val="00472EF9"/>
    <w:rsid w:val="0047514E"/>
    <w:rsid w:val="00477274"/>
    <w:rsid w:val="0048123F"/>
    <w:rsid w:val="00485BB1"/>
    <w:rsid w:val="0049501B"/>
    <w:rsid w:val="00496E7F"/>
    <w:rsid w:val="004970E5"/>
    <w:rsid w:val="00497D53"/>
    <w:rsid w:val="004A37A6"/>
    <w:rsid w:val="004A574A"/>
    <w:rsid w:val="004A6A8D"/>
    <w:rsid w:val="004B013F"/>
    <w:rsid w:val="004B235F"/>
    <w:rsid w:val="004B2A84"/>
    <w:rsid w:val="004B49B6"/>
    <w:rsid w:val="004C0A16"/>
    <w:rsid w:val="004C278D"/>
    <w:rsid w:val="004C2835"/>
    <w:rsid w:val="004C30D1"/>
    <w:rsid w:val="004D0C06"/>
    <w:rsid w:val="004D1C88"/>
    <w:rsid w:val="004D2BC3"/>
    <w:rsid w:val="004D2D1C"/>
    <w:rsid w:val="004D4230"/>
    <w:rsid w:val="004D5D4E"/>
    <w:rsid w:val="004D63EF"/>
    <w:rsid w:val="004E107A"/>
    <w:rsid w:val="004E1AF2"/>
    <w:rsid w:val="004E1F41"/>
    <w:rsid w:val="004E2181"/>
    <w:rsid w:val="004F320B"/>
    <w:rsid w:val="004F3835"/>
    <w:rsid w:val="004F61F1"/>
    <w:rsid w:val="004F72E3"/>
    <w:rsid w:val="00506505"/>
    <w:rsid w:val="00506E6D"/>
    <w:rsid w:val="00520115"/>
    <w:rsid w:val="005224F3"/>
    <w:rsid w:val="005237A1"/>
    <w:rsid w:val="0052505D"/>
    <w:rsid w:val="005321D5"/>
    <w:rsid w:val="005326CC"/>
    <w:rsid w:val="00533109"/>
    <w:rsid w:val="00534457"/>
    <w:rsid w:val="005361E9"/>
    <w:rsid w:val="0054158F"/>
    <w:rsid w:val="005468A2"/>
    <w:rsid w:val="00546DBF"/>
    <w:rsid w:val="00555A80"/>
    <w:rsid w:val="00560CB1"/>
    <w:rsid w:val="00561C9A"/>
    <w:rsid w:val="0056680E"/>
    <w:rsid w:val="00566D6E"/>
    <w:rsid w:val="00573CF2"/>
    <w:rsid w:val="0058006D"/>
    <w:rsid w:val="0058052D"/>
    <w:rsid w:val="005806D5"/>
    <w:rsid w:val="005965AF"/>
    <w:rsid w:val="005977D2"/>
    <w:rsid w:val="005A2EF5"/>
    <w:rsid w:val="005A70C8"/>
    <w:rsid w:val="005A7DEB"/>
    <w:rsid w:val="005B0C7D"/>
    <w:rsid w:val="005B4C57"/>
    <w:rsid w:val="005B6FC5"/>
    <w:rsid w:val="005C2106"/>
    <w:rsid w:val="005C2C5C"/>
    <w:rsid w:val="005C3B6F"/>
    <w:rsid w:val="005C489E"/>
    <w:rsid w:val="005C4D2E"/>
    <w:rsid w:val="005D285A"/>
    <w:rsid w:val="005D3726"/>
    <w:rsid w:val="005D7078"/>
    <w:rsid w:val="005D71A4"/>
    <w:rsid w:val="005E6F08"/>
    <w:rsid w:val="005F2004"/>
    <w:rsid w:val="005F5C51"/>
    <w:rsid w:val="00600E28"/>
    <w:rsid w:val="0060240D"/>
    <w:rsid w:val="0060300C"/>
    <w:rsid w:val="00612374"/>
    <w:rsid w:val="00613F54"/>
    <w:rsid w:val="00613F73"/>
    <w:rsid w:val="00614A02"/>
    <w:rsid w:val="00623BBE"/>
    <w:rsid w:val="006269CE"/>
    <w:rsid w:val="00632222"/>
    <w:rsid w:val="0063497B"/>
    <w:rsid w:val="00637D5B"/>
    <w:rsid w:val="006421BC"/>
    <w:rsid w:val="00643ACC"/>
    <w:rsid w:val="00650921"/>
    <w:rsid w:val="00652795"/>
    <w:rsid w:val="0065447B"/>
    <w:rsid w:val="00654FA7"/>
    <w:rsid w:val="006571E5"/>
    <w:rsid w:val="00657585"/>
    <w:rsid w:val="00662E1E"/>
    <w:rsid w:val="0066322D"/>
    <w:rsid w:val="0067095F"/>
    <w:rsid w:val="00671853"/>
    <w:rsid w:val="00681569"/>
    <w:rsid w:val="006851CA"/>
    <w:rsid w:val="006875F1"/>
    <w:rsid w:val="00687A6B"/>
    <w:rsid w:val="00692347"/>
    <w:rsid w:val="006965FC"/>
    <w:rsid w:val="006979EF"/>
    <w:rsid w:val="006A15CC"/>
    <w:rsid w:val="006A2CFB"/>
    <w:rsid w:val="006A595B"/>
    <w:rsid w:val="006A6820"/>
    <w:rsid w:val="006A7079"/>
    <w:rsid w:val="006B1CDC"/>
    <w:rsid w:val="006B3D3D"/>
    <w:rsid w:val="006B60A0"/>
    <w:rsid w:val="006B7430"/>
    <w:rsid w:val="006B7DA3"/>
    <w:rsid w:val="006C2117"/>
    <w:rsid w:val="006C27F8"/>
    <w:rsid w:val="006C2E31"/>
    <w:rsid w:val="006C6657"/>
    <w:rsid w:val="006C66CB"/>
    <w:rsid w:val="006C6FC9"/>
    <w:rsid w:val="006C7DB4"/>
    <w:rsid w:val="006D25E4"/>
    <w:rsid w:val="006D3EED"/>
    <w:rsid w:val="006E1C81"/>
    <w:rsid w:val="006E6B3C"/>
    <w:rsid w:val="006F3B53"/>
    <w:rsid w:val="00700737"/>
    <w:rsid w:val="007016EF"/>
    <w:rsid w:val="007121F2"/>
    <w:rsid w:val="00714319"/>
    <w:rsid w:val="00722B61"/>
    <w:rsid w:val="00723863"/>
    <w:rsid w:val="00731125"/>
    <w:rsid w:val="00731B6F"/>
    <w:rsid w:val="00737361"/>
    <w:rsid w:val="0074452D"/>
    <w:rsid w:val="0074466E"/>
    <w:rsid w:val="00744E82"/>
    <w:rsid w:val="00750B0D"/>
    <w:rsid w:val="007511AD"/>
    <w:rsid w:val="00751346"/>
    <w:rsid w:val="00760562"/>
    <w:rsid w:val="00762194"/>
    <w:rsid w:val="00766241"/>
    <w:rsid w:val="00771468"/>
    <w:rsid w:val="00771D42"/>
    <w:rsid w:val="00777337"/>
    <w:rsid w:val="0078321F"/>
    <w:rsid w:val="00786303"/>
    <w:rsid w:val="0079410F"/>
    <w:rsid w:val="00795200"/>
    <w:rsid w:val="007971E2"/>
    <w:rsid w:val="007A0B59"/>
    <w:rsid w:val="007A1CD0"/>
    <w:rsid w:val="007A3A82"/>
    <w:rsid w:val="007A414F"/>
    <w:rsid w:val="007A49D6"/>
    <w:rsid w:val="007A5BDF"/>
    <w:rsid w:val="007A79D4"/>
    <w:rsid w:val="007B189A"/>
    <w:rsid w:val="007B6C89"/>
    <w:rsid w:val="007B7110"/>
    <w:rsid w:val="007C26AA"/>
    <w:rsid w:val="007C47C4"/>
    <w:rsid w:val="007C48CF"/>
    <w:rsid w:val="007D0791"/>
    <w:rsid w:val="007D164F"/>
    <w:rsid w:val="007D1929"/>
    <w:rsid w:val="007D3896"/>
    <w:rsid w:val="007D4A37"/>
    <w:rsid w:val="007E659C"/>
    <w:rsid w:val="007F1307"/>
    <w:rsid w:val="007F6069"/>
    <w:rsid w:val="00800BCD"/>
    <w:rsid w:val="00801D7A"/>
    <w:rsid w:val="0080541B"/>
    <w:rsid w:val="00805D7C"/>
    <w:rsid w:val="00812D81"/>
    <w:rsid w:val="00820AB1"/>
    <w:rsid w:val="00827BAD"/>
    <w:rsid w:val="0083025B"/>
    <w:rsid w:val="0083204F"/>
    <w:rsid w:val="00833C7F"/>
    <w:rsid w:val="00835A2A"/>
    <w:rsid w:val="00840074"/>
    <w:rsid w:val="0084348E"/>
    <w:rsid w:val="008442F2"/>
    <w:rsid w:val="00852E3D"/>
    <w:rsid w:val="00856375"/>
    <w:rsid w:val="00860582"/>
    <w:rsid w:val="008649A7"/>
    <w:rsid w:val="008666F9"/>
    <w:rsid w:val="00874615"/>
    <w:rsid w:val="008752A0"/>
    <w:rsid w:val="00877AB3"/>
    <w:rsid w:val="00882BE5"/>
    <w:rsid w:val="00883786"/>
    <w:rsid w:val="00884A45"/>
    <w:rsid w:val="00886885"/>
    <w:rsid w:val="00886AD3"/>
    <w:rsid w:val="00887D7E"/>
    <w:rsid w:val="00890A09"/>
    <w:rsid w:val="00890AE9"/>
    <w:rsid w:val="0089259B"/>
    <w:rsid w:val="00896CDC"/>
    <w:rsid w:val="0089770B"/>
    <w:rsid w:val="008A0844"/>
    <w:rsid w:val="008A14E9"/>
    <w:rsid w:val="008A2E00"/>
    <w:rsid w:val="008A3BAE"/>
    <w:rsid w:val="008A60FC"/>
    <w:rsid w:val="008A7049"/>
    <w:rsid w:val="008B1DC9"/>
    <w:rsid w:val="008B53C7"/>
    <w:rsid w:val="008B7326"/>
    <w:rsid w:val="008C04C4"/>
    <w:rsid w:val="008C32FE"/>
    <w:rsid w:val="008C5025"/>
    <w:rsid w:val="008D03DA"/>
    <w:rsid w:val="008D3A98"/>
    <w:rsid w:val="008D52F1"/>
    <w:rsid w:val="008E245D"/>
    <w:rsid w:val="008E4669"/>
    <w:rsid w:val="008E65B2"/>
    <w:rsid w:val="008F2C7A"/>
    <w:rsid w:val="00902C77"/>
    <w:rsid w:val="0090688B"/>
    <w:rsid w:val="00910265"/>
    <w:rsid w:val="00910A6B"/>
    <w:rsid w:val="0091385F"/>
    <w:rsid w:val="00916FC4"/>
    <w:rsid w:val="0091753E"/>
    <w:rsid w:val="00926E02"/>
    <w:rsid w:val="0093604B"/>
    <w:rsid w:val="00936BD2"/>
    <w:rsid w:val="00942927"/>
    <w:rsid w:val="00943A1A"/>
    <w:rsid w:val="009446E5"/>
    <w:rsid w:val="00944DCF"/>
    <w:rsid w:val="00946C4C"/>
    <w:rsid w:val="009470CD"/>
    <w:rsid w:val="00947144"/>
    <w:rsid w:val="0095229A"/>
    <w:rsid w:val="00957866"/>
    <w:rsid w:val="00957EAF"/>
    <w:rsid w:val="00962B9A"/>
    <w:rsid w:val="00971564"/>
    <w:rsid w:val="0097375C"/>
    <w:rsid w:val="009740C1"/>
    <w:rsid w:val="0097488C"/>
    <w:rsid w:val="00974CB2"/>
    <w:rsid w:val="009759C5"/>
    <w:rsid w:val="00982A57"/>
    <w:rsid w:val="009840A7"/>
    <w:rsid w:val="00985EE4"/>
    <w:rsid w:val="009908D8"/>
    <w:rsid w:val="009918B9"/>
    <w:rsid w:val="009930B0"/>
    <w:rsid w:val="00993218"/>
    <w:rsid w:val="009934E3"/>
    <w:rsid w:val="0099530C"/>
    <w:rsid w:val="009A0978"/>
    <w:rsid w:val="009A1E12"/>
    <w:rsid w:val="009A7163"/>
    <w:rsid w:val="009B1E15"/>
    <w:rsid w:val="009B5675"/>
    <w:rsid w:val="009B6E8F"/>
    <w:rsid w:val="009C1BE7"/>
    <w:rsid w:val="009C337E"/>
    <w:rsid w:val="009C3DB0"/>
    <w:rsid w:val="009C4C87"/>
    <w:rsid w:val="009D0E1C"/>
    <w:rsid w:val="009D311B"/>
    <w:rsid w:val="009D4435"/>
    <w:rsid w:val="009E45E5"/>
    <w:rsid w:val="009E520E"/>
    <w:rsid w:val="009E540B"/>
    <w:rsid w:val="009F074F"/>
    <w:rsid w:val="009F100D"/>
    <w:rsid w:val="009F2107"/>
    <w:rsid w:val="009F3678"/>
    <w:rsid w:val="009F6F44"/>
    <w:rsid w:val="009F75CB"/>
    <w:rsid w:val="00A03639"/>
    <w:rsid w:val="00A05383"/>
    <w:rsid w:val="00A072AA"/>
    <w:rsid w:val="00A07777"/>
    <w:rsid w:val="00A107AD"/>
    <w:rsid w:val="00A129FF"/>
    <w:rsid w:val="00A15DA9"/>
    <w:rsid w:val="00A21B66"/>
    <w:rsid w:val="00A22817"/>
    <w:rsid w:val="00A236E8"/>
    <w:rsid w:val="00A242E2"/>
    <w:rsid w:val="00A30DB1"/>
    <w:rsid w:val="00A35FCE"/>
    <w:rsid w:val="00A42839"/>
    <w:rsid w:val="00A438E1"/>
    <w:rsid w:val="00A44699"/>
    <w:rsid w:val="00A47428"/>
    <w:rsid w:val="00A51BB9"/>
    <w:rsid w:val="00A549BD"/>
    <w:rsid w:val="00A554F6"/>
    <w:rsid w:val="00A5668B"/>
    <w:rsid w:val="00A62351"/>
    <w:rsid w:val="00A62CC0"/>
    <w:rsid w:val="00A703DF"/>
    <w:rsid w:val="00A7050D"/>
    <w:rsid w:val="00A72977"/>
    <w:rsid w:val="00A736A0"/>
    <w:rsid w:val="00A75761"/>
    <w:rsid w:val="00A76391"/>
    <w:rsid w:val="00A8004F"/>
    <w:rsid w:val="00A807D0"/>
    <w:rsid w:val="00A8329F"/>
    <w:rsid w:val="00A8549D"/>
    <w:rsid w:val="00A87E78"/>
    <w:rsid w:val="00A91FD7"/>
    <w:rsid w:val="00A93BFF"/>
    <w:rsid w:val="00A95572"/>
    <w:rsid w:val="00A96032"/>
    <w:rsid w:val="00AA0B7E"/>
    <w:rsid w:val="00AA1F25"/>
    <w:rsid w:val="00AA3703"/>
    <w:rsid w:val="00AA633F"/>
    <w:rsid w:val="00AA6CDE"/>
    <w:rsid w:val="00AB0C65"/>
    <w:rsid w:val="00AB6034"/>
    <w:rsid w:val="00AB78C2"/>
    <w:rsid w:val="00AC328B"/>
    <w:rsid w:val="00AC3A8F"/>
    <w:rsid w:val="00AC6654"/>
    <w:rsid w:val="00AD62C9"/>
    <w:rsid w:val="00AD675D"/>
    <w:rsid w:val="00AD6EFF"/>
    <w:rsid w:val="00AE2753"/>
    <w:rsid w:val="00AE3184"/>
    <w:rsid w:val="00AE3298"/>
    <w:rsid w:val="00AE3A0D"/>
    <w:rsid w:val="00AE4AFE"/>
    <w:rsid w:val="00AE5CA1"/>
    <w:rsid w:val="00AE6F57"/>
    <w:rsid w:val="00AE74D8"/>
    <w:rsid w:val="00AF17FE"/>
    <w:rsid w:val="00AF1FB6"/>
    <w:rsid w:val="00AF3058"/>
    <w:rsid w:val="00AF5265"/>
    <w:rsid w:val="00AF5EE3"/>
    <w:rsid w:val="00AF6CE4"/>
    <w:rsid w:val="00AF7D8F"/>
    <w:rsid w:val="00B00E5E"/>
    <w:rsid w:val="00B069D8"/>
    <w:rsid w:val="00B10FE7"/>
    <w:rsid w:val="00B11BB6"/>
    <w:rsid w:val="00B12AB7"/>
    <w:rsid w:val="00B144A1"/>
    <w:rsid w:val="00B20B53"/>
    <w:rsid w:val="00B21996"/>
    <w:rsid w:val="00B220A3"/>
    <w:rsid w:val="00B226C8"/>
    <w:rsid w:val="00B2692B"/>
    <w:rsid w:val="00B30231"/>
    <w:rsid w:val="00B32724"/>
    <w:rsid w:val="00B356B6"/>
    <w:rsid w:val="00B3704F"/>
    <w:rsid w:val="00B37413"/>
    <w:rsid w:val="00B40FC8"/>
    <w:rsid w:val="00B451B6"/>
    <w:rsid w:val="00B451BA"/>
    <w:rsid w:val="00B52F7E"/>
    <w:rsid w:val="00B545B7"/>
    <w:rsid w:val="00B56388"/>
    <w:rsid w:val="00B614F9"/>
    <w:rsid w:val="00B615A1"/>
    <w:rsid w:val="00B61616"/>
    <w:rsid w:val="00B725B0"/>
    <w:rsid w:val="00B738F6"/>
    <w:rsid w:val="00B76526"/>
    <w:rsid w:val="00B8133E"/>
    <w:rsid w:val="00B82B15"/>
    <w:rsid w:val="00B8300F"/>
    <w:rsid w:val="00B92DA1"/>
    <w:rsid w:val="00B9429F"/>
    <w:rsid w:val="00B95E76"/>
    <w:rsid w:val="00BA06C6"/>
    <w:rsid w:val="00BA0F00"/>
    <w:rsid w:val="00BA17CB"/>
    <w:rsid w:val="00BA1DBC"/>
    <w:rsid w:val="00BA206E"/>
    <w:rsid w:val="00BA4013"/>
    <w:rsid w:val="00BA4836"/>
    <w:rsid w:val="00BA51FC"/>
    <w:rsid w:val="00BA5775"/>
    <w:rsid w:val="00BB361C"/>
    <w:rsid w:val="00BB596B"/>
    <w:rsid w:val="00BB6063"/>
    <w:rsid w:val="00BB6DF6"/>
    <w:rsid w:val="00BB73B2"/>
    <w:rsid w:val="00BC08EA"/>
    <w:rsid w:val="00BC41EA"/>
    <w:rsid w:val="00BC7B39"/>
    <w:rsid w:val="00BD11DE"/>
    <w:rsid w:val="00BD270C"/>
    <w:rsid w:val="00BD6B2F"/>
    <w:rsid w:val="00BE692D"/>
    <w:rsid w:val="00BF2574"/>
    <w:rsid w:val="00BF2667"/>
    <w:rsid w:val="00BF2BFC"/>
    <w:rsid w:val="00BF2D20"/>
    <w:rsid w:val="00BF2F81"/>
    <w:rsid w:val="00BF39BE"/>
    <w:rsid w:val="00BF615A"/>
    <w:rsid w:val="00BF64FF"/>
    <w:rsid w:val="00C0394F"/>
    <w:rsid w:val="00C065C3"/>
    <w:rsid w:val="00C101AE"/>
    <w:rsid w:val="00C11346"/>
    <w:rsid w:val="00C11F86"/>
    <w:rsid w:val="00C15F4B"/>
    <w:rsid w:val="00C170D6"/>
    <w:rsid w:val="00C26C8D"/>
    <w:rsid w:val="00C31DD3"/>
    <w:rsid w:val="00C45012"/>
    <w:rsid w:val="00C54755"/>
    <w:rsid w:val="00C57605"/>
    <w:rsid w:val="00C65B2C"/>
    <w:rsid w:val="00C70AD6"/>
    <w:rsid w:val="00C73E30"/>
    <w:rsid w:val="00C74201"/>
    <w:rsid w:val="00C75108"/>
    <w:rsid w:val="00C75FAF"/>
    <w:rsid w:val="00C765E5"/>
    <w:rsid w:val="00C80811"/>
    <w:rsid w:val="00C8316C"/>
    <w:rsid w:val="00C926E8"/>
    <w:rsid w:val="00C92B01"/>
    <w:rsid w:val="00C96FE7"/>
    <w:rsid w:val="00CB185C"/>
    <w:rsid w:val="00CB2C49"/>
    <w:rsid w:val="00CC6016"/>
    <w:rsid w:val="00CC6777"/>
    <w:rsid w:val="00CE3753"/>
    <w:rsid w:val="00CE5C98"/>
    <w:rsid w:val="00CF4288"/>
    <w:rsid w:val="00CF5F66"/>
    <w:rsid w:val="00CF6407"/>
    <w:rsid w:val="00D04063"/>
    <w:rsid w:val="00D04ECC"/>
    <w:rsid w:val="00D1159C"/>
    <w:rsid w:val="00D127B3"/>
    <w:rsid w:val="00D149C7"/>
    <w:rsid w:val="00D21920"/>
    <w:rsid w:val="00D232D1"/>
    <w:rsid w:val="00D24CD5"/>
    <w:rsid w:val="00D25360"/>
    <w:rsid w:val="00D269D1"/>
    <w:rsid w:val="00D2766A"/>
    <w:rsid w:val="00D27BDB"/>
    <w:rsid w:val="00D312B6"/>
    <w:rsid w:val="00D314BE"/>
    <w:rsid w:val="00D33C9A"/>
    <w:rsid w:val="00D33D88"/>
    <w:rsid w:val="00D35253"/>
    <w:rsid w:val="00D41ECD"/>
    <w:rsid w:val="00D44A56"/>
    <w:rsid w:val="00D455E8"/>
    <w:rsid w:val="00D459DF"/>
    <w:rsid w:val="00D46AC2"/>
    <w:rsid w:val="00D47930"/>
    <w:rsid w:val="00D569EB"/>
    <w:rsid w:val="00D6286F"/>
    <w:rsid w:val="00D63CDD"/>
    <w:rsid w:val="00D63F14"/>
    <w:rsid w:val="00D64755"/>
    <w:rsid w:val="00D6735E"/>
    <w:rsid w:val="00D67FB0"/>
    <w:rsid w:val="00D71373"/>
    <w:rsid w:val="00D7306E"/>
    <w:rsid w:val="00D7442E"/>
    <w:rsid w:val="00D76360"/>
    <w:rsid w:val="00D80CC5"/>
    <w:rsid w:val="00D8114D"/>
    <w:rsid w:val="00D8684F"/>
    <w:rsid w:val="00D87533"/>
    <w:rsid w:val="00D90505"/>
    <w:rsid w:val="00D92F22"/>
    <w:rsid w:val="00D95B56"/>
    <w:rsid w:val="00DA3067"/>
    <w:rsid w:val="00DA6949"/>
    <w:rsid w:val="00DB13A7"/>
    <w:rsid w:val="00DB1C32"/>
    <w:rsid w:val="00DC022D"/>
    <w:rsid w:val="00DC2376"/>
    <w:rsid w:val="00DC23A5"/>
    <w:rsid w:val="00DC5019"/>
    <w:rsid w:val="00DD1910"/>
    <w:rsid w:val="00DE2568"/>
    <w:rsid w:val="00DE2EA9"/>
    <w:rsid w:val="00DE4ACB"/>
    <w:rsid w:val="00DE5B2B"/>
    <w:rsid w:val="00DE60F9"/>
    <w:rsid w:val="00DE72F6"/>
    <w:rsid w:val="00DF1DFE"/>
    <w:rsid w:val="00DF3707"/>
    <w:rsid w:val="00DF4F0B"/>
    <w:rsid w:val="00DF67EB"/>
    <w:rsid w:val="00DF7AA6"/>
    <w:rsid w:val="00E00D93"/>
    <w:rsid w:val="00E02608"/>
    <w:rsid w:val="00E02749"/>
    <w:rsid w:val="00E11672"/>
    <w:rsid w:val="00E1314C"/>
    <w:rsid w:val="00E1322D"/>
    <w:rsid w:val="00E1638D"/>
    <w:rsid w:val="00E1644B"/>
    <w:rsid w:val="00E2081C"/>
    <w:rsid w:val="00E27D5E"/>
    <w:rsid w:val="00E31B72"/>
    <w:rsid w:val="00E3247B"/>
    <w:rsid w:val="00E32672"/>
    <w:rsid w:val="00E33404"/>
    <w:rsid w:val="00E37D62"/>
    <w:rsid w:val="00E4211E"/>
    <w:rsid w:val="00E422FE"/>
    <w:rsid w:val="00E42A69"/>
    <w:rsid w:val="00E44048"/>
    <w:rsid w:val="00E50887"/>
    <w:rsid w:val="00E518F8"/>
    <w:rsid w:val="00E56CF8"/>
    <w:rsid w:val="00E62157"/>
    <w:rsid w:val="00E7094F"/>
    <w:rsid w:val="00E74996"/>
    <w:rsid w:val="00E75E61"/>
    <w:rsid w:val="00E7791D"/>
    <w:rsid w:val="00E814D0"/>
    <w:rsid w:val="00E81806"/>
    <w:rsid w:val="00E84707"/>
    <w:rsid w:val="00E861F4"/>
    <w:rsid w:val="00E86721"/>
    <w:rsid w:val="00E8794E"/>
    <w:rsid w:val="00E915A6"/>
    <w:rsid w:val="00E919F2"/>
    <w:rsid w:val="00EA0317"/>
    <w:rsid w:val="00EA421C"/>
    <w:rsid w:val="00EA4574"/>
    <w:rsid w:val="00EA6A7B"/>
    <w:rsid w:val="00EA7D9D"/>
    <w:rsid w:val="00EB5F8A"/>
    <w:rsid w:val="00EC03BE"/>
    <w:rsid w:val="00EC10EA"/>
    <w:rsid w:val="00EC57D6"/>
    <w:rsid w:val="00EC7207"/>
    <w:rsid w:val="00EC7394"/>
    <w:rsid w:val="00EC7F28"/>
    <w:rsid w:val="00ED158E"/>
    <w:rsid w:val="00ED4168"/>
    <w:rsid w:val="00ED5889"/>
    <w:rsid w:val="00EE0806"/>
    <w:rsid w:val="00EE4CF6"/>
    <w:rsid w:val="00EE6669"/>
    <w:rsid w:val="00EE6D25"/>
    <w:rsid w:val="00EE7E6E"/>
    <w:rsid w:val="00EF1EC5"/>
    <w:rsid w:val="00EF299D"/>
    <w:rsid w:val="00EF5D58"/>
    <w:rsid w:val="00EF672E"/>
    <w:rsid w:val="00F04564"/>
    <w:rsid w:val="00F05302"/>
    <w:rsid w:val="00F06812"/>
    <w:rsid w:val="00F071DA"/>
    <w:rsid w:val="00F12BD0"/>
    <w:rsid w:val="00F212CA"/>
    <w:rsid w:val="00F21549"/>
    <w:rsid w:val="00F22F14"/>
    <w:rsid w:val="00F24029"/>
    <w:rsid w:val="00F24273"/>
    <w:rsid w:val="00F2747A"/>
    <w:rsid w:val="00F304EF"/>
    <w:rsid w:val="00F31CA1"/>
    <w:rsid w:val="00F326CE"/>
    <w:rsid w:val="00F32C57"/>
    <w:rsid w:val="00F35718"/>
    <w:rsid w:val="00F409C1"/>
    <w:rsid w:val="00F41187"/>
    <w:rsid w:val="00F41E1A"/>
    <w:rsid w:val="00F43D0E"/>
    <w:rsid w:val="00F43F6C"/>
    <w:rsid w:val="00F45E68"/>
    <w:rsid w:val="00F47B15"/>
    <w:rsid w:val="00F545EF"/>
    <w:rsid w:val="00F549BE"/>
    <w:rsid w:val="00F55E33"/>
    <w:rsid w:val="00F567E2"/>
    <w:rsid w:val="00F57C31"/>
    <w:rsid w:val="00F60147"/>
    <w:rsid w:val="00F65156"/>
    <w:rsid w:val="00F66E1B"/>
    <w:rsid w:val="00F66FE5"/>
    <w:rsid w:val="00F70A74"/>
    <w:rsid w:val="00F7118E"/>
    <w:rsid w:val="00F75751"/>
    <w:rsid w:val="00F759C1"/>
    <w:rsid w:val="00F8294E"/>
    <w:rsid w:val="00F8388D"/>
    <w:rsid w:val="00F91FE1"/>
    <w:rsid w:val="00F930F6"/>
    <w:rsid w:val="00F931DB"/>
    <w:rsid w:val="00FA45E3"/>
    <w:rsid w:val="00FA4C4B"/>
    <w:rsid w:val="00FA7397"/>
    <w:rsid w:val="00FB24ED"/>
    <w:rsid w:val="00FB2DCD"/>
    <w:rsid w:val="00FB5533"/>
    <w:rsid w:val="00FB6F03"/>
    <w:rsid w:val="00FC12D6"/>
    <w:rsid w:val="00FC2954"/>
    <w:rsid w:val="00FC42A6"/>
    <w:rsid w:val="00FC4E13"/>
    <w:rsid w:val="00FC639A"/>
    <w:rsid w:val="00FD01CA"/>
    <w:rsid w:val="00FD1641"/>
    <w:rsid w:val="00FD3751"/>
    <w:rsid w:val="00FD51D8"/>
    <w:rsid w:val="00FD6B74"/>
    <w:rsid w:val="00FE12B1"/>
    <w:rsid w:val="00FE625D"/>
    <w:rsid w:val="00FE7254"/>
    <w:rsid w:val="00FF0BCD"/>
    <w:rsid w:val="00FF187C"/>
    <w:rsid w:val="00FF4415"/>
    <w:rsid w:val="00FF5CF4"/>
    <w:rsid w:val="0161D57A"/>
    <w:rsid w:val="0187B876"/>
    <w:rsid w:val="0242521C"/>
    <w:rsid w:val="035D91B3"/>
    <w:rsid w:val="036EAB16"/>
    <w:rsid w:val="03E5D857"/>
    <w:rsid w:val="0411597F"/>
    <w:rsid w:val="05175898"/>
    <w:rsid w:val="06A0D8CF"/>
    <w:rsid w:val="0879C2C3"/>
    <w:rsid w:val="0A22FA7C"/>
    <w:rsid w:val="0B8BA41C"/>
    <w:rsid w:val="0C2FAB6C"/>
    <w:rsid w:val="0CA2C3CC"/>
    <w:rsid w:val="0DBC376B"/>
    <w:rsid w:val="0ECFDBEA"/>
    <w:rsid w:val="0F2DFF10"/>
    <w:rsid w:val="104BF435"/>
    <w:rsid w:val="12C59ED2"/>
    <w:rsid w:val="14D773A8"/>
    <w:rsid w:val="161A47A2"/>
    <w:rsid w:val="16D7EF1A"/>
    <w:rsid w:val="1A6010B3"/>
    <w:rsid w:val="1EAB80BA"/>
    <w:rsid w:val="1F7749D5"/>
    <w:rsid w:val="1F8EE846"/>
    <w:rsid w:val="20B5DC81"/>
    <w:rsid w:val="20FFA904"/>
    <w:rsid w:val="21F19F53"/>
    <w:rsid w:val="25AD6274"/>
    <w:rsid w:val="269637BF"/>
    <w:rsid w:val="2718FE7D"/>
    <w:rsid w:val="29418CB0"/>
    <w:rsid w:val="295213D4"/>
    <w:rsid w:val="2C239232"/>
    <w:rsid w:val="2C9C4664"/>
    <w:rsid w:val="2CBA2D16"/>
    <w:rsid w:val="2CE1AD55"/>
    <w:rsid w:val="2D6C1016"/>
    <w:rsid w:val="2EDD5153"/>
    <w:rsid w:val="2FE10101"/>
    <w:rsid w:val="302CF70A"/>
    <w:rsid w:val="3114DAE0"/>
    <w:rsid w:val="312594C6"/>
    <w:rsid w:val="316DABEB"/>
    <w:rsid w:val="323F8139"/>
    <w:rsid w:val="3250E8AC"/>
    <w:rsid w:val="357D5926"/>
    <w:rsid w:val="35ED4FA4"/>
    <w:rsid w:val="36A91F9E"/>
    <w:rsid w:val="37357142"/>
    <w:rsid w:val="378A9F6A"/>
    <w:rsid w:val="3922BE47"/>
    <w:rsid w:val="3937B379"/>
    <w:rsid w:val="39D0784F"/>
    <w:rsid w:val="3B3F86CB"/>
    <w:rsid w:val="3B4DCA80"/>
    <w:rsid w:val="3BB8CE85"/>
    <w:rsid w:val="3C773F3A"/>
    <w:rsid w:val="3E75F6D3"/>
    <w:rsid w:val="3EF8B526"/>
    <w:rsid w:val="3F164357"/>
    <w:rsid w:val="3FF4CF64"/>
    <w:rsid w:val="40744006"/>
    <w:rsid w:val="411F72FE"/>
    <w:rsid w:val="411F74E2"/>
    <w:rsid w:val="414C2577"/>
    <w:rsid w:val="42F9848C"/>
    <w:rsid w:val="42F98632"/>
    <w:rsid w:val="43D1A6BA"/>
    <w:rsid w:val="4419D94E"/>
    <w:rsid w:val="4482A7C8"/>
    <w:rsid w:val="46B97D34"/>
    <w:rsid w:val="47E1DCDE"/>
    <w:rsid w:val="47EE5EC8"/>
    <w:rsid w:val="481F72C6"/>
    <w:rsid w:val="48FD4927"/>
    <w:rsid w:val="4904A5F1"/>
    <w:rsid w:val="49F83CA4"/>
    <w:rsid w:val="4A5B5AB9"/>
    <w:rsid w:val="4B7CDE3D"/>
    <w:rsid w:val="4BD44F24"/>
    <w:rsid w:val="4C85C691"/>
    <w:rsid w:val="4D493203"/>
    <w:rsid w:val="4EA37C92"/>
    <w:rsid w:val="4EB6BA3F"/>
    <w:rsid w:val="5112C08A"/>
    <w:rsid w:val="512B9E57"/>
    <w:rsid w:val="513F19C9"/>
    <w:rsid w:val="527F3DC7"/>
    <w:rsid w:val="53CA7002"/>
    <w:rsid w:val="562B79E7"/>
    <w:rsid w:val="566D5039"/>
    <w:rsid w:val="571BE96C"/>
    <w:rsid w:val="57C914CA"/>
    <w:rsid w:val="5823843A"/>
    <w:rsid w:val="5A136CE7"/>
    <w:rsid w:val="5A3D49DC"/>
    <w:rsid w:val="5A95B96C"/>
    <w:rsid w:val="5AC3467A"/>
    <w:rsid w:val="5B6E5ACE"/>
    <w:rsid w:val="5BEE6921"/>
    <w:rsid w:val="5C6F4CE4"/>
    <w:rsid w:val="5D407D35"/>
    <w:rsid w:val="600C1C4A"/>
    <w:rsid w:val="60224628"/>
    <w:rsid w:val="61085E36"/>
    <w:rsid w:val="62C72026"/>
    <w:rsid w:val="63D1D961"/>
    <w:rsid w:val="649F18FF"/>
    <w:rsid w:val="651FFC22"/>
    <w:rsid w:val="671D19AE"/>
    <w:rsid w:val="68679EEF"/>
    <w:rsid w:val="68F4E630"/>
    <w:rsid w:val="6925969B"/>
    <w:rsid w:val="694F8E51"/>
    <w:rsid w:val="69C76206"/>
    <w:rsid w:val="69E525D3"/>
    <w:rsid w:val="6A6A88CE"/>
    <w:rsid w:val="6B41F19E"/>
    <w:rsid w:val="6B63BEAE"/>
    <w:rsid w:val="6CC40164"/>
    <w:rsid w:val="6D05E979"/>
    <w:rsid w:val="6E6BAAF4"/>
    <w:rsid w:val="6F51BE89"/>
    <w:rsid w:val="7118C660"/>
    <w:rsid w:val="712D06C0"/>
    <w:rsid w:val="7136474C"/>
    <w:rsid w:val="71980AC5"/>
    <w:rsid w:val="73BC9E90"/>
    <w:rsid w:val="746275F1"/>
    <w:rsid w:val="74C197DE"/>
    <w:rsid w:val="75652413"/>
    <w:rsid w:val="7573E9C2"/>
    <w:rsid w:val="7770123F"/>
    <w:rsid w:val="786D1FB6"/>
    <w:rsid w:val="78BA9E44"/>
    <w:rsid w:val="7C209A51"/>
    <w:rsid w:val="7C5CE89E"/>
    <w:rsid w:val="7DA0C8D2"/>
    <w:rsid w:val="7DC82E2C"/>
    <w:rsid w:val="7E22E588"/>
    <w:rsid w:val="7F11A989"/>
    <w:rsid w:val="7F77A668"/>
    <w:rsid w:val="7F878FE4"/>
    <w:rsid w:val="7FD2A06D"/>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3E77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aliases w:val="Besedilo"/>
    <w:qFormat/>
    <w:rsid w:val="00363E63"/>
    <w:pPr>
      <w:spacing w:after="0" w:line="250" w:lineRule="atLeast"/>
      <w:jc w:val="both"/>
    </w:pPr>
    <w:rPr>
      <w:rFonts w:ascii="Myriad Pro" w:hAnsi="Myriad Pro"/>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3497B"/>
    <w:pPr>
      <w:tabs>
        <w:tab w:val="center" w:pos="4536"/>
        <w:tab w:val="right" w:pos="9072"/>
      </w:tabs>
      <w:spacing w:line="240" w:lineRule="auto"/>
    </w:pPr>
  </w:style>
  <w:style w:type="character" w:customStyle="1" w:styleId="GlavaZnak">
    <w:name w:val="Glava Znak"/>
    <w:basedOn w:val="Privzetapisavaodstavka"/>
    <w:link w:val="Glava"/>
    <w:uiPriority w:val="99"/>
    <w:rsid w:val="0063497B"/>
  </w:style>
  <w:style w:type="paragraph" w:styleId="Noga">
    <w:name w:val="footer"/>
    <w:basedOn w:val="Navaden"/>
    <w:link w:val="NogaZnak"/>
    <w:uiPriority w:val="99"/>
    <w:unhideWhenUsed/>
    <w:rsid w:val="0063497B"/>
    <w:pPr>
      <w:tabs>
        <w:tab w:val="center" w:pos="4536"/>
        <w:tab w:val="right" w:pos="9072"/>
      </w:tabs>
      <w:spacing w:line="240" w:lineRule="auto"/>
    </w:pPr>
  </w:style>
  <w:style w:type="character" w:customStyle="1" w:styleId="NogaZnak">
    <w:name w:val="Noga Znak"/>
    <w:basedOn w:val="Privzetapisavaodstavka"/>
    <w:link w:val="Noga"/>
    <w:uiPriority w:val="99"/>
    <w:rsid w:val="0063497B"/>
  </w:style>
  <w:style w:type="paragraph" w:styleId="Brezrazmikov">
    <w:name w:val="No Spacing"/>
    <w:uiPriority w:val="1"/>
    <w:qFormat/>
    <w:rsid w:val="00887D7E"/>
    <w:pPr>
      <w:spacing w:after="0" w:line="240" w:lineRule="auto"/>
    </w:pPr>
    <w:rPr>
      <w:rFonts w:ascii="Myriad Pro" w:hAnsi="Myriad Pro"/>
    </w:rPr>
  </w:style>
  <w:style w:type="paragraph" w:customStyle="1" w:styleId="Naslov11">
    <w:name w:val="Naslov 11"/>
    <w:basedOn w:val="Navaden"/>
    <w:link w:val="Naslov1Char"/>
    <w:qFormat/>
    <w:rsid w:val="00812D81"/>
    <w:pPr>
      <w:spacing w:line="360" w:lineRule="exact"/>
    </w:pPr>
    <w:rPr>
      <w:b/>
      <w:sz w:val="32"/>
      <w:szCs w:val="36"/>
    </w:rPr>
  </w:style>
  <w:style w:type="paragraph" w:customStyle="1" w:styleId="Naslov21">
    <w:name w:val="Naslov 21"/>
    <w:basedOn w:val="Navaden"/>
    <w:link w:val="Naslov2Char"/>
    <w:qFormat/>
    <w:rsid w:val="00812D81"/>
    <w:pPr>
      <w:spacing w:line="360" w:lineRule="exact"/>
    </w:pPr>
    <w:rPr>
      <w:sz w:val="32"/>
      <w:szCs w:val="36"/>
    </w:rPr>
  </w:style>
  <w:style w:type="character" w:customStyle="1" w:styleId="Naslov1Char">
    <w:name w:val="Naslov 1 Char"/>
    <w:basedOn w:val="Privzetapisavaodstavka"/>
    <w:link w:val="Naslov11"/>
    <w:rsid w:val="00812D81"/>
    <w:rPr>
      <w:rFonts w:ascii="Myriad Pro" w:hAnsi="Myriad Pro"/>
      <w:b/>
      <w:sz w:val="32"/>
      <w:szCs w:val="36"/>
    </w:rPr>
  </w:style>
  <w:style w:type="paragraph" w:customStyle="1" w:styleId="Naslov31">
    <w:name w:val="Naslov 31"/>
    <w:basedOn w:val="Navaden"/>
    <w:link w:val="Naslov3Char"/>
    <w:qFormat/>
    <w:rsid w:val="00671853"/>
    <w:rPr>
      <w:b/>
    </w:rPr>
  </w:style>
  <w:style w:type="character" w:customStyle="1" w:styleId="Naslov2Char">
    <w:name w:val="Naslov 2 Char"/>
    <w:basedOn w:val="Privzetapisavaodstavka"/>
    <w:link w:val="Naslov21"/>
    <w:rsid w:val="00812D81"/>
    <w:rPr>
      <w:rFonts w:ascii="Myriad Pro" w:hAnsi="Myriad Pro"/>
      <w:sz w:val="32"/>
      <w:szCs w:val="36"/>
    </w:rPr>
  </w:style>
  <w:style w:type="paragraph" w:customStyle="1" w:styleId="Dodatneinformacije">
    <w:name w:val="Dodatne informacije"/>
    <w:basedOn w:val="Navaden"/>
    <w:link w:val="DodatneinformacijeChar"/>
    <w:qFormat/>
    <w:rsid w:val="00F41E1A"/>
  </w:style>
  <w:style w:type="character" w:customStyle="1" w:styleId="Naslov3Char">
    <w:name w:val="Naslov 3 Char"/>
    <w:basedOn w:val="Privzetapisavaodstavka"/>
    <w:link w:val="Naslov31"/>
    <w:rsid w:val="00671853"/>
    <w:rPr>
      <w:rFonts w:ascii="Myriad Pro" w:hAnsi="Myriad Pro"/>
      <w:b/>
      <w:sz w:val="21"/>
    </w:rPr>
  </w:style>
  <w:style w:type="paragraph" w:styleId="Besedilooblaka">
    <w:name w:val="Balloon Text"/>
    <w:basedOn w:val="Navaden"/>
    <w:link w:val="BesedilooblakaZnak"/>
    <w:uiPriority w:val="99"/>
    <w:semiHidden/>
    <w:unhideWhenUsed/>
    <w:rsid w:val="00E02749"/>
    <w:pPr>
      <w:spacing w:line="240" w:lineRule="auto"/>
    </w:pPr>
    <w:rPr>
      <w:rFonts w:ascii="Segoe UI" w:hAnsi="Segoe UI" w:cs="Segoe UI"/>
      <w:sz w:val="18"/>
      <w:szCs w:val="18"/>
    </w:rPr>
  </w:style>
  <w:style w:type="character" w:customStyle="1" w:styleId="DodatneinformacijeChar">
    <w:name w:val="Dodatne informacije Char"/>
    <w:basedOn w:val="Privzetapisavaodstavka"/>
    <w:link w:val="Dodatneinformacije"/>
    <w:rsid w:val="00F41E1A"/>
    <w:rPr>
      <w:rFonts w:ascii="Myriad Pro" w:hAnsi="Myriad Pro"/>
      <w:sz w:val="21"/>
    </w:rPr>
  </w:style>
  <w:style w:type="character" w:customStyle="1" w:styleId="BesedilooblakaZnak">
    <w:name w:val="Besedilo oblačka Znak"/>
    <w:basedOn w:val="Privzetapisavaodstavka"/>
    <w:link w:val="Besedilooblaka"/>
    <w:uiPriority w:val="99"/>
    <w:semiHidden/>
    <w:rsid w:val="00E02749"/>
    <w:rPr>
      <w:rFonts w:ascii="Segoe UI" w:hAnsi="Segoe UI" w:cs="Segoe UI"/>
      <w:sz w:val="18"/>
      <w:szCs w:val="18"/>
    </w:rPr>
  </w:style>
  <w:style w:type="paragraph" w:customStyle="1" w:styleId="Uvod">
    <w:name w:val="Uvod"/>
    <w:basedOn w:val="Naslov31"/>
    <w:link w:val="UvodChar"/>
    <w:qFormat/>
    <w:rsid w:val="00E02749"/>
    <w:pPr>
      <w:spacing w:after="160"/>
    </w:pPr>
  </w:style>
  <w:style w:type="character" w:customStyle="1" w:styleId="UvodChar">
    <w:name w:val="Uvod Char"/>
    <w:basedOn w:val="Naslov3Char"/>
    <w:link w:val="Uvod"/>
    <w:rsid w:val="00E02749"/>
    <w:rPr>
      <w:rFonts w:ascii="Myriad Pro" w:hAnsi="Myriad Pro"/>
      <w:b/>
      <w:sz w:val="21"/>
    </w:rPr>
  </w:style>
  <w:style w:type="table" w:styleId="Tabelamrea">
    <w:name w:val="Table Grid"/>
    <w:basedOn w:val="Navadnatabela"/>
    <w:uiPriority w:val="39"/>
    <w:rsid w:val="006E1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DF4F0B"/>
    <w:pPr>
      <w:ind w:left="720"/>
      <w:contextualSpacing/>
    </w:pPr>
  </w:style>
  <w:style w:type="paragraph" w:customStyle="1" w:styleId="Besedilomanjealineje">
    <w:name w:val="Besedilo manjše_alineje"/>
    <w:basedOn w:val="Odstavekseznama"/>
    <w:link w:val="BesedilomanjealinejeChar"/>
    <w:rsid w:val="00F545EF"/>
    <w:pPr>
      <w:numPr>
        <w:numId w:val="1"/>
      </w:numPr>
      <w:spacing w:line="220" w:lineRule="exact"/>
      <w:ind w:left="170" w:hanging="170"/>
      <w:jc w:val="left"/>
    </w:pPr>
    <w:rPr>
      <w:sz w:val="16"/>
      <w:szCs w:val="16"/>
    </w:rPr>
  </w:style>
  <w:style w:type="character" w:customStyle="1" w:styleId="OdstavekseznamaZnak">
    <w:name w:val="Odstavek seznama Znak"/>
    <w:basedOn w:val="Privzetapisavaodstavka"/>
    <w:link w:val="Odstavekseznama"/>
    <w:uiPriority w:val="34"/>
    <w:rsid w:val="00133E20"/>
    <w:rPr>
      <w:rFonts w:ascii="Myriad Pro" w:hAnsi="Myriad Pro"/>
      <w:sz w:val="21"/>
    </w:rPr>
  </w:style>
  <w:style w:type="character" w:customStyle="1" w:styleId="BesedilomanjealinejeChar">
    <w:name w:val="Besedilo manjše_alineje Char"/>
    <w:basedOn w:val="OdstavekseznamaZnak"/>
    <w:link w:val="Besedilomanjealineje"/>
    <w:rsid w:val="00F545EF"/>
    <w:rPr>
      <w:rFonts w:ascii="Myriad Pro" w:hAnsi="Myriad Pro"/>
      <w:sz w:val="16"/>
      <w:szCs w:val="16"/>
    </w:rPr>
  </w:style>
  <w:style w:type="character" w:styleId="Hiperpovezava">
    <w:name w:val="Hyperlink"/>
    <w:basedOn w:val="Privzetapisavaodstavka"/>
    <w:uiPriority w:val="99"/>
    <w:unhideWhenUsed/>
    <w:rsid w:val="00363E63"/>
    <w:rPr>
      <w:color w:val="0563C1" w:themeColor="hyperlink"/>
      <w:u w:val="single"/>
    </w:rPr>
  </w:style>
  <w:style w:type="paragraph" w:styleId="Sprotnaopomba-besedilo">
    <w:name w:val="footnote text"/>
    <w:aliases w:val="Sprotna opomba_EO, Char Char,Char Char,Sprotna opomba-besedilo,Char Char Char Char,Sprotna opomba - besedilo Znak1,Sprotna opomba - besedilo Znak Znak2,Sprotna opomba - besedilo Znak1 Znak Znak1,fn,Char Ch,o"/>
    <w:basedOn w:val="Navaden"/>
    <w:link w:val="Sprotnaopomba-besediloZnak"/>
    <w:uiPriority w:val="99"/>
    <w:unhideWhenUsed/>
    <w:qFormat/>
    <w:rsid w:val="00FE7254"/>
    <w:pPr>
      <w:spacing w:line="240" w:lineRule="auto"/>
    </w:pPr>
    <w:rPr>
      <w:sz w:val="16"/>
      <w:szCs w:val="20"/>
    </w:rPr>
  </w:style>
  <w:style w:type="character" w:customStyle="1" w:styleId="Sprotnaopomba-besediloZnak">
    <w:name w:val="Sprotna opomba - besedilo Znak"/>
    <w:aliases w:val="Sprotna opomba_EO Znak, Char Char Znak,Char Char Znak,Sprotna opomba-besedilo Znak,Char Char Char Char Znak,Sprotna opomba - besedilo Znak1 Znak,Sprotna opomba - besedilo Znak Znak2 Znak,fn Znak,Char Ch Znak,o Znak"/>
    <w:basedOn w:val="Privzetapisavaodstavka"/>
    <w:link w:val="Sprotnaopomba-besedilo"/>
    <w:uiPriority w:val="99"/>
    <w:rsid w:val="00FE7254"/>
    <w:rPr>
      <w:rFonts w:ascii="Myriad Pro" w:hAnsi="Myriad Pro"/>
      <w:sz w:val="16"/>
      <w:szCs w:val="20"/>
    </w:rPr>
  </w:style>
  <w:style w:type="character" w:styleId="Sprotnaopomba-sklic">
    <w:name w:val="footnote reference"/>
    <w:aliases w:val="footnote_EO,Footnote symbol,Fussnota,Footnote,Footnote reference number,note TESI,SUPERS,EN Footnote Reference,-E Fußnotenzeichen,Times 10 Point,Exposant 3 Point,E...,nota de rodapé,Footnote Reference_LVL6,Footnote Reference_LVL61"/>
    <w:basedOn w:val="Privzetapisavaodstavka"/>
    <w:uiPriority w:val="99"/>
    <w:unhideWhenUsed/>
    <w:qFormat/>
    <w:rsid w:val="00FE7254"/>
    <w:rPr>
      <w:vertAlign w:val="superscript"/>
    </w:rPr>
  </w:style>
  <w:style w:type="character" w:styleId="Nerazreenaomemba">
    <w:name w:val="Unresolved Mention"/>
    <w:basedOn w:val="Privzetapisavaodstavka"/>
    <w:uiPriority w:val="99"/>
    <w:semiHidden/>
    <w:unhideWhenUsed/>
    <w:rsid w:val="003A49D8"/>
    <w:rPr>
      <w:color w:val="605E5C"/>
      <w:shd w:val="clear" w:color="auto" w:fill="E1DFDD"/>
    </w:rPr>
  </w:style>
  <w:style w:type="paragraph" w:customStyle="1" w:styleId="Naslov310">
    <w:name w:val="Naslov 310"/>
    <w:basedOn w:val="Navaden"/>
    <w:qFormat/>
    <w:rsid w:val="00120162"/>
    <w:rPr>
      <w:b/>
    </w:rPr>
  </w:style>
  <w:style w:type="character" w:styleId="Pripombasklic">
    <w:name w:val="annotation reference"/>
    <w:basedOn w:val="Privzetapisavaodstavka"/>
    <w:uiPriority w:val="99"/>
    <w:semiHidden/>
    <w:unhideWhenUsed/>
    <w:rsid w:val="002B67C9"/>
    <w:rPr>
      <w:sz w:val="16"/>
      <w:szCs w:val="16"/>
    </w:rPr>
  </w:style>
  <w:style w:type="paragraph" w:styleId="Pripombabesedilo">
    <w:name w:val="annotation text"/>
    <w:basedOn w:val="Navaden"/>
    <w:link w:val="PripombabesediloZnak"/>
    <w:uiPriority w:val="99"/>
    <w:semiHidden/>
    <w:unhideWhenUsed/>
    <w:rsid w:val="002B67C9"/>
    <w:pPr>
      <w:spacing w:line="240" w:lineRule="auto"/>
    </w:pPr>
    <w:rPr>
      <w:szCs w:val="20"/>
    </w:rPr>
  </w:style>
  <w:style w:type="character" w:customStyle="1" w:styleId="PripombabesediloZnak">
    <w:name w:val="Pripomba – besedilo Znak"/>
    <w:basedOn w:val="Privzetapisavaodstavka"/>
    <w:link w:val="Pripombabesedilo"/>
    <w:uiPriority w:val="99"/>
    <w:semiHidden/>
    <w:rsid w:val="002B67C9"/>
    <w:rPr>
      <w:rFonts w:ascii="Myriad Pro" w:hAnsi="Myriad Pro"/>
      <w:sz w:val="20"/>
      <w:szCs w:val="20"/>
    </w:rPr>
  </w:style>
  <w:style w:type="paragraph" w:styleId="Zadevapripombe">
    <w:name w:val="annotation subject"/>
    <w:basedOn w:val="Pripombabesedilo"/>
    <w:next w:val="Pripombabesedilo"/>
    <w:link w:val="ZadevapripombeZnak"/>
    <w:uiPriority w:val="99"/>
    <w:semiHidden/>
    <w:unhideWhenUsed/>
    <w:rsid w:val="002B67C9"/>
    <w:rPr>
      <w:b/>
      <w:bCs/>
    </w:rPr>
  </w:style>
  <w:style w:type="character" w:customStyle="1" w:styleId="ZadevapripombeZnak">
    <w:name w:val="Zadeva pripombe Znak"/>
    <w:basedOn w:val="PripombabesediloZnak"/>
    <w:link w:val="Zadevapripombe"/>
    <w:uiPriority w:val="99"/>
    <w:semiHidden/>
    <w:rsid w:val="002B67C9"/>
    <w:rPr>
      <w:rFonts w:ascii="Myriad Pro" w:hAnsi="Myriad Pro"/>
      <w:b/>
      <w:bCs/>
      <w:sz w:val="20"/>
      <w:szCs w:val="20"/>
    </w:rPr>
  </w:style>
  <w:style w:type="paragraph" w:styleId="Revizija">
    <w:name w:val="Revision"/>
    <w:hidden/>
    <w:uiPriority w:val="99"/>
    <w:semiHidden/>
    <w:rsid w:val="003D0FA7"/>
    <w:pPr>
      <w:spacing w:after="0" w:line="240" w:lineRule="auto"/>
    </w:pPr>
    <w:rPr>
      <w:rFonts w:ascii="Myriad Pro" w:hAnsi="Myriad Pro"/>
      <w:sz w:val="20"/>
    </w:rPr>
  </w:style>
  <w:style w:type="character" w:styleId="Konnaopomba-sklic">
    <w:name w:val="endnote reference"/>
    <w:basedOn w:val="Privzetapisavaodstavka"/>
    <w:uiPriority w:val="99"/>
    <w:semiHidden/>
    <w:unhideWhenUsed/>
    <w:rsid w:val="000C5DFC"/>
    <w:rPr>
      <w:vertAlign w:val="superscript"/>
    </w:rPr>
  </w:style>
  <w:style w:type="paragraph" w:customStyle="1" w:styleId="Naslov32">
    <w:name w:val="Naslov 32"/>
    <w:basedOn w:val="Navaden"/>
    <w:qFormat/>
    <w:rsid w:val="0078321F"/>
    <w:rPr>
      <w:b/>
    </w:rPr>
  </w:style>
  <w:style w:type="character" w:styleId="Krepko">
    <w:name w:val="Strong"/>
    <w:basedOn w:val="Privzetapisavaodstavka"/>
    <w:uiPriority w:val="22"/>
    <w:qFormat/>
    <w:rsid w:val="00BA0F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olona.osrajnik@gov.si"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olona.osrajnik@gov.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UMAR tema_word">
  <a:themeElements>
    <a:clrScheme name="UMAR barve">
      <a:dk1>
        <a:sysClr val="windowText" lastClr="000000"/>
      </a:dk1>
      <a:lt1>
        <a:sysClr val="window" lastClr="FFFFFF"/>
      </a:lt1>
      <a:dk2>
        <a:srgbClr val="44546A"/>
      </a:dk2>
      <a:lt2>
        <a:srgbClr val="DBDBDB"/>
      </a:lt2>
      <a:accent1>
        <a:srgbClr val="9E001A"/>
      </a:accent1>
      <a:accent2>
        <a:srgbClr val="D99694"/>
      </a:accent2>
      <a:accent3>
        <a:srgbClr val="A6A6A6"/>
      </a:accent3>
      <a:accent4>
        <a:srgbClr val="54A4A3"/>
      </a:accent4>
      <a:accent5>
        <a:srgbClr val="BBD2B0"/>
      </a:accent5>
      <a:accent6>
        <a:srgbClr val="6F3B66"/>
      </a:accent6>
      <a:hlink>
        <a:srgbClr val="0563C1"/>
      </a:hlink>
      <a:folHlink>
        <a:srgbClr val="954F72"/>
      </a:folHlink>
    </a:clrScheme>
    <a:fontScheme name="UMAR pisav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68AC7-6441-4F4D-8B85-586A15D2A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1098</Words>
  <Characters>6259</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2022-12-20T09:09:00Z</dcterms:created>
  <dcterms:modified xsi:type="dcterms:W3CDTF">2022-12-20T09:09:00Z</dcterms:modified>
</cp:coreProperties>
</file>