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r>
        <w:t>GRAFI TEDNA</w:t>
      </w:r>
    </w:p>
    <w:p w14:paraId="636DFC9E" w14:textId="39CB7E23" w:rsidR="001D6793" w:rsidRDefault="00FA45E3" w:rsidP="001D6793">
      <w:pPr>
        <w:pStyle w:val="Naslov21"/>
      </w:pPr>
      <w:r>
        <w:t xml:space="preserve">od </w:t>
      </w:r>
      <w:r w:rsidR="005321D5">
        <w:t>12</w:t>
      </w:r>
      <w:r w:rsidR="001D6793">
        <w:t>.</w:t>
      </w:r>
      <w:r w:rsidR="00520115">
        <w:t xml:space="preserve"> </w:t>
      </w:r>
      <w:r w:rsidR="001D6793">
        <w:t xml:space="preserve">do </w:t>
      </w:r>
      <w:r w:rsidR="005321D5">
        <w:t>16</w:t>
      </w:r>
      <w:r w:rsidR="001D6793">
        <w:t xml:space="preserve">. </w:t>
      </w:r>
      <w:r w:rsidR="005321D5">
        <w:t>decembra</w:t>
      </w:r>
      <w:r w:rsidR="001D6793">
        <w:t xml:space="preserve"> 20</w:t>
      </w:r>
      <w:r w:rsidR="005B4C57">
        <w:t>22</w:t>
      </w:r>
    </w:p>
    <w:p w14:paraId="0D813662" w14:textId="62600A0A" w:rsidR="00DF4F0B" w:rsidRDefault="00DF4F0B"/>
    <w:p w14:paraId="196DFF85" w14:textId="77777777" w:rsidR="00916FC4" w:rsidRDefault="00916FC4"/>
    <w:p w14:paraId="0F21DA7E" w14:textId="10275A7E" w:rsidR="008A2E00" w:rsidRDefault="005D7078" w:rsidP="001F51CD">
      <w:pPr>
        <w:tabs>
          <w:tab w:val="left" w:pos="580"/>
        </w:tabs>
      </w:pPr>
      <w:r>
        <w:t xml:space="preserve">Poraba </w:t>
      </w:r>
      <w:r w:rsidR="00B8133E">
        <w:t>zemeljskega plina</w:t>
      </w:r>
      <w:r w:rsidR="00D24CD5">
        <w:t xml:space="preserve"> </w:t>
      </w:r>
      <w:r w:rsidR="00D24CD5" w:rsidRPr="00993218">
        <w:t>ter industrijska in gospodinjska poraba elektrike</w:t>
      </w:r>
      <w:r w:rsidRPr="00993218">
        <w:t xml:space="preserve"> </w:t>
      </w:r>
      <w:r w:rsidR="00D24CD5" w:rsidRPr="00993218">
        <w:t>s</w:t>
      </w:r>
      <w:r w:rsidR="005C4E83">
        <w:t>ta</w:t>
      </w:r>
      <w:r w:rsidR="00170703" w:rsidRPr="00993218">
        <w:t xml:space="preserve"> bili novembra nižji kot v primerljivem obdobju predhodnih let</w:t>
      </w:r>
      <w:r w:rsidRPr="00993218">
        <w:t>.</w:t>
      </w:r>
      <w:r w:rsidR="00170703" w:rsidRPr="00993218">
        <w:t xml:space="preserve"> K nižji porabi obeh energentov so poleg ukrepov za varčno rabo pomembno prispevale</w:t>
      </w:r>
      <w:r w:rsidR="00170703" w:rsidRPr="00993218">
        <w:rPr>
          <w:rFonts w:eastAsia="Myriad Pro" w:cs="Myriad Pro"/>
        </w:rPr>
        <w:t xml:space="preserve"> tudi prilagoditve industrije na visoke cene z znižanjem proizvodnje.</w:t>
      </w:r>
      <w:r w:rsidR="00722B61" w:rsidRPr="00993218">
        <w:rPr>
          <w:rFonts w:eastAsia="Myriad Pro" w:cs="Myriad Pro"/>
        </w:rPr>
        <w:t xml:space="preserve"> </w:t>
      </w:r>
      <w:r w:rsidRPr="00993218">
        <w:t xml:space="preserve">Po podatkih o davčnem potrjevanju računov je bila prodaja v </w:t>
      </w:r>
      <w:r w:rsidR="00B8133E" w:rsidRPr="00993218">
        <w:t xml:space="preserve">začetku decembra </w:t>
      </w:r>
      <w:r w:rsidRPr="00993218">
        <w:t>medletno nominalno višja za 1</w:t>
      </w:r>
      <w:r w:rsidR="00B8133E" w:rsidRPr="00993218">
        <w:t>5</w:t>
      </w:r>
      <w:r w:rsidRPr="00993218">
        <w:t xml:space="preserve"> %, k temu pa je poleg visoke rasti cen prispevala tudi lanska nizka osnova v povezavi z zamejevanjem širjenja covida-19. </w:t>
      </w:r>
      <w:r w:rsidR="009E45E5" w:rsidRPr="00993218">
        <w:t xml:space="preserve">Po več letih presežka </w:t>
      </w:r>
      <w:r w:rsidR="00993218" w:rsidRPr="00993218">
        <w:t xml:space="preserve">je bil saldo </w:t>
      </w:r>
      <w:r w:rsidR="104BF435" w:rsidRPr="00993218">
        <w:t xml:space="preserve">na tekočem računu plačilne bilance </w:t>
      </w:r>
      <w:r w:rsidR="5C6F4CE4" w:rsidRPr="00993218">
        <w:t>v prvih desetih mesecih</w:t>
      </w:r>
      <w:r w:rsidR="00993218" w:rsidRPr="00993218">
        <w:t xml:space="preserve"> približno uravnotežen</w:t>
      </w:r>
      <w:r w:rsidR="009E45E5" w:rsidRPr="00993218">
        <w:t xml:space="preserve">. </w:t>
      </w:r>
      <w:r w:rsidR="00170703" w:rsidRPr="00993218">
        <w:t>Gradbena aktivnost je bila po podatkih o vrednosti opravljenih gradbenih del oktobra znatno višja kot lani. V primerjavi s preteklimi leti je izstopala gradnja stavb, aktivnost pa je bila visoka tudi v gradnji inženirskih objektov.</w:t>
      </w:r>
      <w:r w:rsidR="007C47C4">
        <w:t xml:space="preserve"> </w:t>
      </w:r>
      <w:r w:rsidR="004351F9">
        <w:t xml:space="preserve">Ob visoki zaposlenosti se je medletna rast števila delovno aktivnih oktobra nekoliko umirila. Visoka je ostala </w:t>
      </w:r>
      <w:r w:rsidR="004351F9" w:rsidRPr="007E23D1">
        <w:t xml:space="preserve">v gradbeništvu, </w:t>
      </w:r>
      <w:r w:rsidR="004351F9">
        <w:t>ki izstopa po deležu tujih delavcev in velikem pomanjkanju delovne sile.</w:t>
      </w:r>
    </w:p>
    <w:p w14:paraId="2D6EEFE2" w14:textId="77777777" w:rsidR="00BA0F00" w:rsidRPr="00CB185C" w:rsidRDefault="00BA0F00"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688"/>
        <w:gridCol w:w="3969"/>
      </w:tblGrid>
      <w:tr w:rsidR="00BA0F00" w14:paraId="66B458D1" w14:textId="77777777" w:rsidTr="562B79E7">
        <w:trPr>
          <w:trHeight w:val="207"/>
        </w:trPr>
        <w:tc>
          <w:tcPr>
            <w:tcW w:w="5670" w:type="dxa"/>
            <w:gridSpan w:val="2"/>
            <w:tcBorders>
              <w:bottom w:val="single" w:sz="4" w:space="0" w:color="auto"/>
            </w:tcBorders>
            <w:tcMar>
              <w:left w:w="0" w:type="dxa"/>
            </w:tcMar>
          </w:tcPr>
          <w:p w14:paraId="443359D1" w14:textId="731A7DC4" w:rsidR="00BA0F00" w:rsidRPr="006C2117" w:rsidRDefault="00BA0F00" w:rsidP="0018081D">
            <w:pPr>
              <w:pStyle w:val="Naslov31"/>
              <w:jc w:val="left"/>
            </w:pPr>
            <w:r w:rsidRPr="00CF5F66">
              <w:t xml:space="preserve">Poraba zemeljskega plina, </w:t>
            </w:r>
            <w:r w:rsidR="00D314BE" w:rsidRPr="009E45E5">
              <w:t>nov</w:t>
            </w:r>
            <w:r w:rsidR="006B1CDC" w:rsidRPr="009E45E5">
              <w:t>ember</w:t>
            </w:r>
            <w:r w:rsidRPr="009E45E5">
              <w:t xml:space="preserve"> 2022</w:t>
            </w:r>
          </w:p>
        </w:tc>
        <w:tc>
          <w:tcPr>
            <w:tcW w:w="3969" w:type="dxa"/>
            <w:tcBorders>
              <w:bottom w:val="single" w:sz="4" w:space="0" w:color="auto"/>
            </w:tcBorders>
          </w:tcPr>
          <w:p w14:paraId="01098EB5" w14:textId="77777777" w:rsidR="00BA0F00" w:rsidRPr="006C2117" w:rsidRDefault="00BA0F00" w:rsidP="0018081D">
            <w:pPr>
              <w:pStyle w:val="Naslov31"/>
            </w:pPr>
          </w:p>
        </w:tc>
      </w:tr>
      <w:tr w:rsidR="00BA0F00" w14:paraId="78F9918F" w14:textId="77777777" w:rsidTr="562B79E7">
        <w:trPr>
          <w:trHeight w:val="1134"/>
        </w:trPr>
        <w:tc>
          <w:tcPr>
            <w:tcW w:w="4982" w:type="dxa"/>
            <w:tcBorders>
              <w:top w:val="single" w:sz="4" w:space="0" w:color="auto"/>
            </w:tcBorders>
            <w:tcMar>
              <w:left w:w="0" w:type="dxa"/>
            </w:tcMar>
          </w:tcPr>
          <w:p w14:paraId="2FC04A6E" w14:textId="323D4A4B" w:rsidR="00BA0F00" w:rsidRDefault="001B6FAE" w:rsidP="0018081D">
            <w:pPr>
              <w:pStyle w:val="Odstavekseznama"/>
              <w:ind w:left="0"/>
            </w:pPr>
            <w:r w:rsidRPr="001B6FAE">
              <w:rPr>
                <w:noProof/>
              </w:rPr>
              <w:drawing>
                <wp:inline distT="0" distB="0" distL="0" distR="0" wp14:anchorId="60F9345C" wp14:editId="60C64B22">
                  <wp:extent cx="3162300" cy="25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2590800"/>
                          </a:xfrm>
                          <a:prstGeom prst="rect">
                            <a:avLst/>
                          </a:prstGeom>
                          <a:noFill/>
                          <a:ln>
                            <a:noFill/>
                          </a:ln>
                        </pic:spPr>
                      </pic:pic>
                    </a:graphicData>
                  </a:graphic>
                </wp:inline>
              </w:drawing>
            </w:r>
          </w:p>
        </w:tc>
        <w:tc>
          <w:tcPr>
            <w:tcW w:w="4657" w:type="dxa"/>
            <w:gridSpan w:val="2"/>
            <w:tcBorders>
              <w:top w:val="single" w:sz="4" w:space="0" w:color="auto"/>
            </w:tcBorders>
            <w:tcMar>
              <w:left w:w="284" w:type="dxa"/>
            </w:tcMar>
          </w:tcPr>
          <w:p w14:paraId="7EF4309A" w14:textId="06B7C2ED" w:rsidR="00BA0F00" w:rsidRPr="00DF4F0B" w:rsidRDefault="61085E36" w:rsidP="0018081D">
            <w:r w:rsidRPr="6925969B">
              <w:rPr>
                <w:rFonts w:eastAsia="Myriad Pro" w:cs="Myriad Pro"/>
                <w:b/>
                <w:bCs/>
              </w:rPr>
              <w:t>Poraba zemeljskega plina je bila novembra za 11 % nižja od primerljive povprečne v prejšnjih petih letih</w:t>
            </w:r>
            <w:r w:rsidR="00BF2D20" w:rsidRPr="6925969B">
              <w:rPr>
                <w:rFonts w:eastAsia="Myriad Pro" w:cs="Times New Roman"/>
                <w:vertAlign w:val="superscript"/>
              </w:rPr>
              <w:footnoteReference w:id="2"/>
            </w:r>
            <w:r w:rsidRPr="6925969B">
              <w:rPr>
                <w:rFonts w:eastAsia="Myriad Pro" w:cs="Myriad Pro"/>
                <w:b/>
                <w:bCs/>
              </w:rPr>
              <w:t xml:space="preserve">, potem ko je bila oktobra ob </w:t>
            </w:r>
            <w:r w:rsidR="5A3D49DC">
              <w:rPr>
                <w:rFonts w:eastAsia="Myriad Pro" w:cs="Myriad Pro"/>
                <w:b/>
                <w:bCs/>
              </w:rPr>
              <w:t xml:space="preserve">neobičajno </w:t>
            </w:r>
            <w:r w:rsidRPr="6925969B">
              <w:rPr>
                <w:rFonts w:eastAsia="Myriad Pro" w:cs="Myriad Pro"/>
                <w:b/>
                <w:bCs/>
              </w:rPr>
              <w:t xml:space="preserve">toplem vremenu nižja za več kot 21 %. </w:t>
            </w:r>
            <w:r w:rsidRPr="6925969B">
              <w:rPr>
                <w:rFonts w:eastAsia="Myriad Pro" w:cs="Myriad Pro"/>
              </w:rPr>
              <w:t>Na znižanje vplivajo ukrepi za varčno rabo</w:t>
            </w:r>
            <w:r w:rsidR="00230BB4">
              <w:rPr>
                <w:rFonts w:eastAsia="Myriad Pro" w:cs="Myriad Pro"/>
              </w:rPr>
              <w:t>,</w:t>
            </w:r>
            <w:r w:rsidR="57C914CA" w:rsidRPr="6925969B">
              <w:rPr>
                <w:rFonts w:eastAsia="Myriad Pro" w:cs="Myriad Pro"/>
              </w:rPr>
              <w:t xml:space="preserve"> sprejeti na ravni EU</w:t>
            </w:r>
            <w:r w:rsidRPr="6925969B">
              <w:rPr>
                <w:rFonts w:eastAsia="Myriad Pro" w:cs="Myriad Pro"/>
              </w:rPr>
              <w:t>, del industrije</w:t>
            </w:r>
            <w:r w:rsidR="00BF2D20" w:rsidRPr="6925969B">
              <w:rPr>
                <w:rFonts w:eastAsia="Myriad Pro" w:cs="Times New Roman"/>
                <w:vertAlign w:val="superscript"/>
              </w:rPr>
              <w:footnoteReference w:id="3"/>
            </w:r>
            <w:r w:rsidRPr="6925969B">
              <w:rPr>
                <w:rFonts w:eastAsia="Myriad Pro" w:cs="Myriad Pro"/>
              </w:rPr>
              <w:t xml:space="preserve"> pa se je na visoke cene plina odzval z zmanjšanjem proizvodnje in posledično manjšo porabo. Potem ko je v drugi polovici oktobra k nižji porabi dodatno prispevalo toplejše vreme, so bolj običajne novembrske temperature razliko do primerljive porabe plina v prejšnjih letih zmanjšale. Države EU so pred zimo sicer uspele skoraj v celoti napolniti skladišča plina, </w:t>
            </w:r>
            <w:r w:rsidR="5A3D49DC">
              <w:rPr>
                <w:rFonts w:eastAsia="Myriad Pro" w:cs="Myriad Pro"/>
              </w:rPr>
              <w:t xml:space="preserve">napolnjenost </w:t>
            </w:r>
            <w:r w:rsidRPr="6925969B">
              <w:rPr>
                <w:rFonts w:eastAsia="Myriad Pro" w:cs="Myriad Pro"/>
              </w:rPr>
              <w:t xml:space="preserve">pa se sedaj </w:t>
            </w:r>
            <w:r w:rsidR="5A3D49DC">
              <w:rPr>
                <w:rFonts w:eastAsia="Myriad Pro" w:cs="Myriad Pro"/>
              </w:rPr>
              <w:t>ob večji porabi</w:t>
            </w:r>
            <w:r w:rsidRPr="6925969B">
              <w:rPr>
                <w:rFonts w:eastAsia="Myriad Pro" w:cs="Myriad Pro"/>
              </w:rPr>
              <w:t xml:space="preserve"> že znižuje</w:t>
            </w:r>
            <w:r w:rsidR="00AE4AFE" w:rsidRPr="6925969B">
              <w:rPr>
                <w:rFonts w:eastAsia="Myriad Pro" w:cs="Times New Roman"/>
                <w:vertAlign w:val="superscript"/>
              </w:rPr>
              <w:footnoteReference w:id="4"/>
            </w:r>
            <w:r w:rsidRPr="6925969B">
              <w:rPr>
                <w:rFonts w:eastAsia="Myriad Pro" w:cs="Myriad Pro"/>
              </w:rPr>
              <w:t>. Poraba plina v Sloveniji je bila po predhodnih podatkih od 1.</w:t>
            </w:r>
            <w:r w:rsidRPr="6925969B">
              <w:rPr>
                <w:rFonts w:ascii="Arial" w:eastAsia="Arial" w:hAnsi="Arial" w:cs="Arial"/>
              </w:rPr>
              <w:t> </w:t>
            </w:r>
            <w:r w:rsidRPr="6925969B">
              <w:rPr>
                <w:rFonts w:eastAsia="Myriad Pro" w:cs="Myriad Pro"/>
              </w:rPr>
              <w:t>avgusta do 15. decembra 2022 glede na primerljivo povprečje prejšnjih petih let nižja za 14</w:t>
            </w:r>
            <w:r w:rsidRPr="6925969B">
              <w:rPr>
                <w:rFonts w:ascii="Arial" w:eastAsia="Arial" w:hAnsi="Arial" w:cs="Arial"/>
              </w:rPr>
              <w:t> </w:t>
            </w:r>
            <w:r w:rsidRPr="6925969B">
              <w:rPr>
                <w:rFonts w:eastAsia="Myriad Pro" w:cs="Myriad Pro"/>
              </w:rPr>
              <w:t xml:space="preserve">%, </w:t>
            </w:r>
            <w:r w:rsidR="29418CB0">
              <w:rPr>
                <w:rFonts w:eastAsia="Myriad Pro" w:cs="Myriad Pro"/>
              </w:rPr>
              <w:t>kar je</w:t>
            </w:r>
            <w:r w:rsidRPr="6925969B">
              <w:rPr>
                <w:rFonts w:eastAsia="Myriad Pro" w:cs="Myriad Pro"/>
              </w:rPr>
              <w:t xml:space="preserve"> malenkost manj od priporočil</w:t>
            </w:r>
            <w:r w:rsidR="12C59ED2">
              <w:rPr>
                <w:rFonts w:eastAsia="Myriad Pro" w:cs="Myriad Pro"/>
              </w:rPr>
              <w:t>a</w:t>
            </w:r>
            <w:r w:rsidRPr="6925969B">
              <w:rPr>
                <w:rFonts w:eastAsia="Myriad Pro" w:cs="Myriad Pro"/>
              </w:rPr>
              <w:t xml:space="preserve"> EU</w:t>
            </w:r>
            <w:r w:rsidR="12C59ED2">
              <w:rPr>
                <w:rFonts w:eastAsia="Myriad Pro" w:cs="Myriad Pro"/>
              </w:rPr>
              <w:t xml:space="preserve"> za obdobje </w:t>
            </w:r>
            <w:r w:rsidR="0161D57A">
              <w:rPr>
                <w:rFonts w:eastAsia="Myriad Pro" w:cs="Myriad Pro"/>
              </w:rPr>
              <w:t>od avgusta 2022 do marca 2023</w:t>
            </w:r>
            <w:r w:rsidRPr="6925969B">
              <w:rPr>
                <w:rFonts w:eastAsia="Myriad Pro" w:cs="Myriad Pro"/>
              </w:rPr>
              <w:t>.</w:t>
            </w:r>
          </w:p>
        </w:tc>
      </w:tr>
    </w:tbl>
    <w:p w14:paraId="1952007B" w14:textId="697C43AB" w:rsidR="00FF0BCD" w:rsidRDefault="00FF0BCD" w:rsidP="00BA0F00">
      <w:pPr>
        <w:tabs>
          <w:tab w:val="left" w:pos="580"/>
        </w:tabs>
      </w:pPr>
    </w:p>
    <w:p w14:paraId="5F3CDA2D" w14:textId="77777777" w:rsidR="00FF0BCD" w:rsidRDefault="00FF0BCD">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21"/>
        <w:gridCol w:w="4536"/>
      </w:tblGrid>
      <w:tr w:rsidR="006A2CFB" w:rsidRPr="006C2117" w14:paraId="146B949A" w14:textId="77777777" w:rsidTr="7C5CE89E">
        <w:trPr>
          <w:trHeight w:val="207"/>
        </w:trPr>
        <w:tc>
          <w:tcPr>
            <w:tcW w:w="5103" w:type="dxa"/>
            <w:gridSpan w:val="2"/>
            <w:tcBorders>
              <w:bottom w:val="single" w:sz="4" w:space="0" w:color="auto"/>
            </w:tcBorders>
            <w:tcMar>
              <w:left w:w="0" w:type="dxa"/>
            </w:tcMar>
          </w:tcPr>
          <w:p w14:paraId="071231FF" w14:textId="77777777" w:rsidR="006A2CFB" w:rsidRPr="006C2117" w:rsidRDefault="006A2CFB" w:rsidP="0018081D">
            <w:pPr>
              <w:pStyle w:val="Naslov31"/>
              <w:jc w:val="left"/>
            </w:pPr>
            <w:r w:rsidRPr="009E45E5">
              <w:lastRenderedPageBreak/>
              <w:t>Poraba elektrike po odjemnih skupinah, november 2022</w:t>
            </w:r>
          </w:p>
        </w:tc>
        <w:tc>
          <w:tcPr>
            <w:tcW w:w="4536" w:type="dxa"/>
            <w:tcBorders>
              <w:bottom w:val="single" w:sz="4" w:space="0" w:color="auto"/>
            </w:tcBorders>
          </w:tcPr>
          <w:p w14:paraId="6014AE32" w14:textId="77777777" w:rsidR="006A2CFB" w:rsidRPr="006C2117" w:rsidRDefault="006A2CFB" w:rsidP="0018081D">
            <w:pPr>
              <w:pStyle w:val="Naslov31"/>
            </w:pPr>
          </w:p>
        </w:tc>
      </w:tr>
      <w:tr w:rsidR="006A2CFB" w:rsidRPr="00DF4F0B" w14:paraId="7C465B89" w14:textId="77777777" w:rsidTr="7C5CE89E">
        <w:trPr>
          <w:trHeight w:val="1134"/>
        </w:trPr>
        <w:tc>
          <w:tcPr>
            <w:tcW w:w="4982" w:type="dxa"/>
            <w:tcBorders>
              <w:top w:val="single" w:sz="4" w:space="0" w:color="auto"/>
            </w:tcBorders>
            <w:tcMar>
              <w:left w:w="0" w:type="dxa"/>
            </w:tcMar>
          </w:tcPr>
          <w:p w14:paraId="7E3082A7" w14:textId="77777777" w:rsidR="006A2CFB" w:rsidRDefault="006A2CFB" w:rsidP="0018081D">
            <w:pPr>
              <w:pStyle w:val="Odstavekseznama"/>
              <w:ind w:left="0"/>
            </w:pPr>
            <w:r>
              <w:rPr>
                <w:noProof/>
              </w:rPr>
              <w:drawing>
                <wp:inline distT="0" distB="0" distL="0" distR="0" wp14:anchorId="32328CDC" wp14:editId="58529196">
                  <wp:extent cx="3092400" cy="25452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452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6112F0A" w14:textId="562B6A93" w:rsidR="006A2CFB" w:rsidRPr="00DF4F0B" w:rsidRDefault="006A2CFB" w:rsidP="0018081D">
            <w:r w:rsidRPr="00D24CD5">
              <w:rPr>
                <w:b/>
                <w:bCs/>
                <w:color w:val="000000"/>
                <w:shd w:val="clear" w:color="auto" w:fill="FFFFFF"/>
              </w:rPr>
              <w:t xml:space="preserve">Novembra je bila poraba elektrike na distribucijskem omrežju, kot že nekaj predhodnih mesecev, medletno nižja v vseh odjemnih skupinah. </w:t>
            </w:r>
            <w:r w:rsidRPr="00D24CD5">
              <w:rPr>
                <w:color w:val="000000"/>
                <w:shd w:val="clear" w:color="auto" w:fill="FFFFFF"/>
              </w:rPr>
              <w:t>Najbolj se je znižala industrijska poraba (za 8</w:t>
            </w:r>
            <w:r w:rsidR="007503B7">
              <w:rPr>
                <w:color w:val="000000"/>
                <w:shd w:val="clear" w:color="auto" w:fill="FFFFFF"/>
              </w:rPr>
              <w:t xml:space="preserve"> </w:t>
            </w:r>
            <w:r w:rsidRPr="00D24CD5">
              <w:rPr>
                <w:color w:val="000000"/>
                <w:shd w:val="clear" w:color="auto" w:fill="FFFFFF"/>
              </w:rPr>
              <w:t xml:space="preserve">%), po naši oceni zaradi nižje porabe nekaterih energetsko intenzivnih podjetij, ki so pod vplivom visokih cen elektrike zmanjšala obseg proizvodnje, lahko pa tudi preoblikovala proizvodne procese in uvedla sodobnejše tehnologije </w:t>
            </w:r>
            <w:r w:rsidR="00471DFC">
              <w:rPr>
                <w:color w:val="000000"/>
                <w:shd w:val="clear" w:color="auto" w:fill="FFFFFF"/>
              </w:rPr>
              <w:t xml:space="preserve">za </w:t>
            </w:r>
            <w:r w:rsidRPr="00D24CD5">
              <w:rPr>
                <w:color w:val="000000"/>
                <w:shd w:val="clear" w:color="auto" w:fill="FFFFFF"/>
              </w:rPr>
              <w:t>večj</w:t>
            </w:r>
            <w:r w:rsidR="00471DFC">
              <w:rPr>
                <w:color w:val="000000"/>
                <w:shd w:val="clear" w:color="auto" w:fill="FFFFFF"/>
              </w:rPr>
              <w:t>o</w:t>
            </w:r>
            <w:r w:rsidRPr="00D24CD5">
              <w:rPr>
                <w:color w:val="000000"/>
                <w:shd w:val="clear" w:color="auto" w:fill="FFFFFF"/>
              </w:rPr>
              <w:t xml:space="preserve"> energetsk</w:t>
            </w:r>
            <w:r w:rsidR="00471DFC">
              <w:rPr>
                <w:color w:val="000000"/>
                <w:shd w:val="clear" w:color="auto" w:fill="FFFFFF"/>
              </w:rPr>
              <w:t>o</w:t>
            </w:r>
            <w:r w:rsidRPr="00D24CD5">
              <w:rPr>
                <w:color w:val="000000"/>
                <w:shd w:val="clear" w:color="auto" w:fill="FFFFFF"/>
              </w:rPr>
              <w:t xml:space="preserve"> učinkovitost. Medletno nižja je bila novembra tudi gospodinjska poraba (za 4,2</w:t>
            </w:r>
            <w:r>
              <w:rPr>
                <w:color w:val="000000"/>
                <w:shd w:val="clear" w:color="auto" w:fill="FFFFFF"/>
              </w:rPr>
              <w:t> </w:t>
            </w:r>
            <w:r w:rsidRPr="00D24CD5">
              <w:rPr>
                <w:color w:val="000000"/>
                <w:shd w:val="clear" w:color="auto" w:fill="FFFFFF"/>
              </w:rPr>
              <w:t>%), najverjetneje zaradi varčnejše rabe energije in manjšega obsega dela od doma. Bistveno manj pa se je znižala poraba malih poslovnih odjemalcev, ki je bila novembra za 0,9</w:t>
            </w:r>
            <w:r>
              <w:rPr>
                <w:color w:val="000000"/>
                <w:shd w:val="clear" w:color="auto" w:fill="FFFFFF"/>
              </w:rPr>
              <w:t> </w:t>
            </w:r>
            <w:r w:rsidRPr="00D24CD5">
              <w:rPr>
                <w:color w:val="000000"/>
                <w:shd w:val="clear" w:color="auto" w:fill="FFFFFF"/>
              </w:rPr>
              <w:t>% nižja kot pred letom.</w:t>
            </w:r>
          </w:p>
        </w:tc>
      </w:tr>
    </w:tbl>
    <w:p w14:paraId="5C52A477" w14:textId="4D4B88A8" w:rsidR="00BA0F00" w:rsidRDefault="00BA0F00" w:rsidP="00BA0F00">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956"/>
        <w:gridCol w:w="1701"/>
      </w:tblGrid>
      <w:tr w:rsidR="00FF0BCD" w:rsidRPr="006C2117" w14:paraId="1DF16D59" w14:textId="77777777" w:rsidTr="008666F9">
        <w:trPr>
          <w:trHeight w:val="207"/>
        </w:trPr>
        <w:tc>
          <w:tcPr>
            <w:tcW w:w="7938" w:type="dxa"/>
            <w:gridSpan w:val="2"/>
            <w:tcBorders>
              <w:bottom w:val="single" w:sz="4" w:space="0" w:color="auto"/>
            </w:tcBorders>
            <w:tcMar>
              <w:left w:w="0" w:type="dxa"/>
            </w:tcMar>
          </w:tcPr>
          <w:p w14:paraId="25EEBCDE" w14:textId="4521FDBC" w:rsidR="00FF0BCD" w:rsidRPr="006C2117" w:rsidRDefault="00FF0BCD" w:rsidP="0018081D">
            <w:pPr>
              <w:pStyle w:val="Naslov32"/>
              <w:jc w:val="left"/>
            </w:pPr>
            <w:r>
              <w:t xml:space="preserve">Vrednost davčno potrjenih računov, nominalno, od </w:t>
            </w:r>
            <w:r w:rsidRPr="007E659C">
              <w:t>2</w:t>
            </w:r>
            <w:r w:rsidR="00CF5F66">
              <w:t>7</w:t>
            </w:r>
            <w:r w:rsidRPr="007E659C">
              <w:t>.</w:t>
            </w:r>
            <w:r w:rsidR="00CF5F66">
              <w:t xml:space="preserve"> novembr</w:t>
            </w:r>
            <w:r w:rsidR="008666F9">
              <w:t>a</w:t>
            </w:r>
            <w:r w:rsidRPr="007E659C">
              <w:t xml:space="preserve"> do 1</w:t>
            </w:r>
            <w:r w:rsidR="00CF5F66">
              <w:t>0</w:t>
            </w:r>
            <w:r>
              <w:t xml:space="preserve">. </w:t>
            </w:r>
            <w:r w:rsidR="008666F9">
              <w:t>decembra</w:t>
            </w:r>
            <w:r>
              <w:t xml:space="preserve"> 2022</w:t>
            </w:r>
          </w:p>
        </w:tc>
        <w:tc>
          <w:tcPr>
            <w:tcW w:w="1701" w:type="dxa"/>
            <w:tcBorders>
              <w:bottom w:val="single" w:sz="4" w:space="0" w:color="auto"/>
            </w:tcBorders>
          </w:tcPr>
          <w:p w14:paraId="52D058F4" w14:textId="77777777" w:rsidR="00FF0BCD" w:rsidRPr="006C2117" w:rsidRDefault="00FF0BCD" w:rsidP="0018081D">
            <w:pPr>
              <w:pStyle w:val="Naslov32"/>
            </w:pPr>
          </w:p>
        </w:tc>
      </w:tr>
      <w:tr w:rsidR="00FF0BCD" w:rsidRPr="00DF4F0B" w14:paraId="06FF2EA0" w14:textId="77777777" w:rsidTr="0018081D">
        <w:trPr>
          <w:trHeight w:val="1134"/>
        </w:trPr>
        <w:tc>
          <w:tcPr>
            <w:tcW w:w="4982" w:type="dxa"/>
            <w:tcBorders>
              <w:top w:val="single" w:sz="4" w:space="0" w:color="auto"/>
            </w:tcBorders>
            <w:tcMar>
              <w:left w:w="0" w:type="dxa"/>
            </w:tcMar>
          </w:tcPr>
          <w:p w14:paraId="51FCA79A" w14:textId="103EC10E" w:rsidR="00FF0BCD" w:rsidRDefault="001A4E20" w:rsidP="0018081D">
            <w:pPr>
              <w:pStyle w:val="Odstavekseznama"/>
              <w:ind w:left="0"/>
              <w:rPr>
                <w:noProof/>
              </w:rPr>
            </w:pPr>
            <w:r>
              <w:rPr>
                <w:noProof/>
              </w:rPr>
              <w:drawing>
                <wp:inline distT="0" distB="0" distL="0" distR="0" wp14:anchorId="51F341DB" wp14:editId="52C161DC">
                  <wp:extent cx="3099600" cy="25344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9600" cy="2534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4B6A898" w14:textId="5BB5B835" w:rsidR="00FF0BCD" w:rsidRDefault="00054692" w:rsidP="0018081D">
            <w:pPr>
              <w:rPr>
                <w:rFonts w:eastAsia="Myriad Pro" w:cs="Myriad Pro"/>
                <w:color w:val="000000" w:themeColor="text1"/>
                <w:lang w:val="sl"/>
              </w:rPr>
            </w:pPr>
            <w:r w:rsidRPr="00054692">
              <w:rPr>
                <w:rFonts w:eastAsia="Myriad Pro" w:cs="Myriad Pro"/>
                <w:b/>
                <w:bCs/>
                <w:color w:val="000000" w:themeColor="text1"/>
                <w:lang w:val="sl"/>
              </w:rPr>
              <w:t>Nominalna vrednost davčno potrjenih računov je bila med 27. novembrom in 10. decembrom 2022 ob visoki rasti cen medletno in glede na enako obdobje leta 2019 višja za 15 %.</w:t>
            </w:r>
            <w:r w:rsidRPr="00054692">
              <w:rPr>
                <w:rFonts w:eastAsia="Myriad Pro" w:cs="Myriad Pro"/>
                <w:color w:val="000000" w:themeColor="text1"/>
                <w:lang w:val="sl"/>
              </w:rPr>
              <w:t xml:space="preserve"> K medletni rasti, ki je bila podobna kot v preteklih dveh tednih, je največ prispevala 14-odstotna nominalna rast v trgovini, kjer je</w:t>
            </w:r>
            <w:r>
              <w:rPr>
                <w:rFonts w:eastAsia="Myriad Pro" w:cs="Myriad Pro"/>
                <w:color w:val="000000" w:themeColor="text1"/>
                <w:lang w:val="sl"/>
              </w:rPr>
              <w:t xml:space="preserve"> bilo</w:t>
            </w:r>
            <w:r w:rsidRPr="00054692">
              <w:rPr>
                <w:rFonts w:eastAsia="Myriad Pro" w:cs="Myriad Pro"/>
                <w:color w:val="000000" w:themeColor="text1"/>
                <w:lang w:val="sl"/>
              </w:rPr>
              <w:t xml:space="preserve"> izda</w:t>
            </w:r>
            <w:r>
              <w:rPr>
                <w:rFonts w:eastAsia="Myriad Pro" w:cs="Myriad Pro"/>
                <w:color w:val="000000" w:themeColor="text1"/>
                <w:lang w:val="sl"/>
              </w:rPr>
              <w:t>nih</w:t>
            </w:r>
            <w:r w:rsidRPr="00054692">
              <w:rPr>
                <w:rFonts w:eastAsia="Myriad Pro" w:cs="Myriad Pro"/>
                <w:color w:val="000000" w:themeColor="text1"/>
                <w:lang w:val="sl"/>
              </w:rPr>
              <w:t xml:space="preserve"> skoraj 80 % skupne vrednosti davčno potrjenih računov. Na rast je pomembneje vplivala tudi visoka nominalna rast prodaje v gostinstvu (skupaj 34 %, pri strežbi pijač in hrane 39 %), ki je bila predvsem posledica nižje lanske osnove</w:t>
            </w:r>
            <w:r w:rsidRPr="00054692">
              <w:rPr>
                <w:rFonts w:eastAsia="Myriad Pro" w:cs="Myriad Pro"/>
                <w:color w:val="000000" w:themeColor="text1"/>
                <w:vertAlign w:val="superscript"/>
                <w:lang w:val="sl"/>
              </w:rPr>
              <w:footnoteReference w:id="5"/>
            </w:r>
            <w:r w:rsidRPr="00054692">
              <w:rPr>
                <w:rFonts w:eastAsia="Myriad Pro" w:cs="Myriad Pro"/>
                <w:color w:val="000000" w:themeColor="text1"/>
                <w:lang w:val="sl"/>
              </w:rPr>
              <w:t>.</w:t>
            </w:r>
          </w:p>
          <w:p w14:paraId="4E6EAD67" w14:textId="77777777" w:rsidR="00FF0BCD" w:rsidRPr="00DF4F0B" w:rsidRDefault="00FF0BCD" w:rsidP="0018081D"/>
        </w:tc>
      </w:tr>
    </w:tbl>
    <w:p w14:paraId="3FAB4C0A" w14:textId="1D51A345" w:rsidR="00093214" w:rsidRDefault="00093214">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21"/>
        <w:gridCol w:w="4536"/>
      </w:tblGrid>
      <w:tr w:rsidR="005237A1" w:rsidRPr="006C2117" w14:paraId="064A9713" w14:textId="77777777" w:rsidTr="0F2DFF10">
        <w:trPr>
          <w:trHeight w:val="207"/>
        </w:trPr>
        <w:tc>
          <w:tcPr>
            <w:tcW w:w="5103" w:type="dxa"/>
            <w:gridSpan w:val="2"/>
            <w:tcBorders>
              <w:bottom w:val="single" w:sz="4" w:space="0" w:color="auto"/>
            </w:tcBorders>
            <w:tcMar>
              <w:left w:w="0" w:type="dxa"/>
            </w:tcMar>
          </w:tcPr>
          <w:p w14:paraId="540AE523" w14:textId="3774DA6E" w:rsidR="005237A1" w:rsidRPr="006C2117" w:rsidRDefault="005237A1" w:rsidP="0018081D">
            <w:pPr>
              <w:pStyle w:val="Naslov31"/>
              <w:jc w:val="left"/>
            </w:pPr>
            <w:r w:rsidRPr="00BA72A0">
              <w:lastRenderedPageBreak/>
              <w:t xml:space="preserve">Tekoči račun plačilne bilance, </w:t>
            </w:r>
            <w:r>
              <w:t>oktober</w:t>
            </w:r>
            <w:r w:rsidRPr="00BA72A0">
              <w:t xml:space="preserve"> 2022</w:t>
            </w:r>
          </w:p>
        </w:tc>
        <w:tc>
          <w:tcPr>
            <w:tcW w:w="4536" w:type="dxa"/>
            <w:tcBorders>
              <w:bottom w:val="single" w:sz="4" w:space="0" w:color="auto"/>
            </w:tcBorders>
          </w:tcPr>
          <w:p w14:paraId="41056042" w14:textId="77777777" w:rsidR="005237A1" w:rsidRPr="006C2117" w:rsidRDefault="005237A1" w:rsidP="0018081D">
            <w:pPr>
              <w:pStyle w:val="Naslov31"/>
            </w:pPr>
          </w:p>
        </w:tc>
      </w:tr>
      <w:tr w:rsidR="005237A1" w:rsidRPr="00DF4F0B" w14:paraId="775C6681" w14:textId="77777777" w:rsidTr="0F2DFF10">
        <w:trPr>
          <w:trHeight w:val="1134"/>
        </w:trPr>
        <w:tc>
          <w:tcPr>
            <w:tcW w:w="4982" w:type="dxa"/>
            <w:tcBorders>
              <w:top w:val="single" w:sz="4" w:space="0" w:color="auto"/>
            </w:tcBorders>
            <w:tcMar>
              <w:left w:w="0" w:type="dxa"/>
            </w:tcMar>
          </w:tcPr>
          <w:p w14:paraId="7692783C" w14:textId="62C47BED" w:rsidR="005237A1" w:rsidRDefault="005237A1" w:rsidP="0018081D">
            <w:pPr>
              <w:pStyle w:val="Odstavekseznama"/>
              <w:ind w:left="0"/>
            </w:pPr>
            <w:bookmarkStart w:id="0" w:name="_GoBack"/>
            <w:r>
              <w:rPr>
                <w:noProof/>
              </w:rPr>
              <w:drawing>
                <wp:inline distT="0" distB="0" distL="0" distR="0" wp14:anchorId="26D33091" wp14:editId="752EAE41">
                  <wp:extent cx="3044799" cy="2491200"/>
                  <wp:effectExtent l="0" t="0" r="381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44799" cy="2491200"/>
                          </a:xfrm>
                          <a:prstGeom prst="rect">
                            <a:avLst/>
                          </a:prstGeom>
                          <a:noFill/>
                        </pic:spPr>
                      </pic:pic>
                    </a:graphicData>
                  </a:graphic>
                </wp:inline>
              </w:drawing>
            </w:r>
            <w:bookmarkEnd w:id="0"/>
          </w:p>
        </w:tc>
        <w:tc>
          <w:tcPr>
            <w:tcW w:w="4657" w:type="dxa"/>
            <w:gridSpan w:val="2"/>
            <w:tcBorders>
              <w:top w:val="single" w:sz="4" w:space="0" w:color="auto"/>
            </w:tcBorders>
            <w:tcMar>
              <w:left w:w="284" w:type="dxa"/>
            </w:tcMar>
          </w:tcPr>
          <w:p w14:paraId="6C1B88CF" w14:textId="45B01667" w:rsidR="005237A1" w:rsidRPr="00DF4F0B" w:rsidRDefault="378A9F6A" w:rsidP="0018081D">
            <w:r w:rsidRPr="0F2DFF10">
              <w:rPr>
                <w:b/>
                <w:bCs/>
              </w:rPr>
              <w:t xml:space="preserve">Po več letih presežka </w:t>
            </w:r>
            <w:r w:rsidR="0242521C" w:rsidRPr="0F2DFF10">
              <w:rPr>
                <w:b/>
                <w:bCs/>
              </w:rPr>
              <w:t xml:space="preserve">je saldo </w:t>
            </w:r>
            <w:r w:rsidRPr="0F2DFF10">
              <w:rPr>
                <w:b/>
                <w:bCs/>
              </w:rPr>
              <w:t xml:space="preserve">na tekočem računu plačilne bilance </w:t>
            </w:r>
            <w:r w:rsidR="25AD6274" w:rsidRPr="0F2DFF10">
              <w:rPr>
                <w:b/>
                <w:bCs/>
              </w:rPr>
              <w:t>letos približno uravnotežen</w:t>
            </w:r>
            <w:r w:rsidRPr="0F2DFF10">
              <w:rPr>
                <w:b/>
                <w:bCs/>
              </w:rPr>
              <w:t xml:space="preserve">. </w:t>
            </w:r>
            <w:r>
              <w:t>Presežek tekočega računa plačilne bilance je v prvih desetih mesecih</w:t>
            </w:r>
            <w:r w:rsidR="00993218">
              <w:t xml:space="preserve"> </w:t>
            </w:r>
            <w:r>
              <w:t xml:space="preserve">znašal 56,8 mio EUR </w:t>
            </w:r>
            <w:r w:rsidR="00993218">
              <w:t xml:space="preserve">in bil opazno nižji kot </w:t>
            </w:r>
            <w:r>
              <w:t>v enakem obdobju lani</w:t>
            </w:r>
            <w:r w:rsidR="00993218">
              <w:t xml:space="preserve">, ko je znašal </w:t>
            </w:r>
            <w:r>
              <w:t>2,1 mrd EUR. K znižanju je največ prispevala blagovna menjava, saj je bila ob poslabšanih pogojih menjave realna rast uvoza blaga hitrejša od izvoza. Visoke rasti cen energentov in drugih primarnih surovin ter cen industrijskih proizvodov so precej poslabšale pogoje menjave (za 2,9 %) in povečale stroške poslovanja nefinančnih družb (podjetij). Primanjkljaj primarnih dohodkov je bil višji zaradi manj prejetih subvencij iz proračuna EU in več plačanih letošnjih carin v proračun EU kot posledica uvoza električnih vozil za celoten trg EU (Luka Koper). Višji primanjkljaj sekundarnih dohodkov je izhajal iz višjih transferjev zasebnega sektorja v tujino. Storitveni presežek pa se je povečal, zlasti v menjavi potovanj in menjavi transportnih storitev v povezavi z rastjo mednarodne menjave blaga.</w:t>
            </w:r>
          </w:p>
        </w:tc>
      </w:tr>
    </w:tbl>
    <w:p w14:paraId="042D2C58" w14:textId="77777777" w:rsidR="005237A1" w:rsidRDefault="005237A1" w:rsidP="00BA0F00">
      <w:pPr>
        <w:tabs>
          <w:tab w:val="left" w:pos="580"/>
        </w:tabs>
      </w:pPr>
    </w:p>
    <w:p w14:paraId="4FCFB8EF" w14:textId="77777777" w:rsidR="005237A1" w:rsidRDefault="005237A1" w:rsidP="00BA0F00">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BA0F00" w14:paraId="57DD0FDE" w14:textId="77777777" w:rsidTr="6925969B">
        <w:trPr>
          <w:trHeight w:val="207"/>
        </w:trPr>
        <w:tc>
          <w:tcPr>
            <w:tcW w:w="4819" w:type="dxa"/>
            <w:tcBorders>
              <w:bottom w:val="single" w:sz="4" w:space="0" w:color="auto"/>
            </w:tcBorders>
            <w:tcMar>
              <w:left w:w="0" w:type="dxa"/>
            </w:tcMar>
          </w:tcPr>
          <w:p w14:paraId="03220379" w14:textId="4D52F8D5" w:rsidR="00BA0F00" w:rsidRPr="006C2117" w:rsidRDefault="00BA0F00" w:rsidP="0018081D">
            <w:pPr>
              <w:pStyle w:val="Naslov31"/>
              <w:jc w:val="left"/>
            </w:pPr>
            <w:r>
              <w:t xml:space="preserve">Aktivnost v gradbeništvu, </w:t>
            </w:r>
            <w:r w:rsidR="00C45012">
              <w:t>oktober</w:t>
            </w:r>
            <w:r>
              <w:t xml:space="preserve"> 2022 </w:t>
            </w:r>
          </w:p>
        </w:tc>
        <w:tc>
          <w:tcPr>
            <w:tcW w:w="4820" w:type="dxa"/>
            <w:gridSpan w:val="2"/>
            <w:tcBorders>
              <w:bottom w:val="single" w:sz="4" w:space="0" w:color="auto"/>
            </w:tcBorders>
          </w:tcPr>
          <w:p w14:paraId="4AEBEC82" w14:textId="77777777" w:rsidR="00BA0F00" w:rsidRPr="006C2117" w:rsidRDefault="00BA0F00" w:rsidP="0018081D">
            <w:pPr>
              <w:pStyle w:val="Naslov31"/>
            </w:pPr>
          </w:p>
        </w:tc>
      </w:tr>
      <w:tr w:rsidR="00BA0F00" w:rsidRPr="00916FC4" w14:paraId="1AC3CCED" w14:textId="77777777" w:rsidTr="6925969B">
        <w:trPr>
          <w:trHeight w:val="1134"/>
        </w:trPr>
        <w:tc>
          <w:tcPr>
            <w:tcW w:w="4982" w:type="dxa"/>
            <w:gridSpan w:val="2"/>
            <w:tcBorders>
              <w:top w:val="single" w:sz="4" w:space="0" w:color="auto"/>
            </w:tcBorders>
            <w:tcMar>
              <w:left w:w="0" w:type="dxa"/>
            </w:tcMar>
          </w:tcPr>
          <w:p w14:paraId="56B6A3EB" w14:textId="507E65B1" w:rsidR="00BA0F00" w:rsidRDefault="001A4E20" w:rsidP="0018081D">
            <w:pPr>
              <w:pStyle w:val="Odstavekseznama"/>
              <w:ind w:left="0"/>
            </w:pPr>
            <w:r>
              <w:rPr>
                <w:noProof/>
              </w:rPr>
              <w:drawing>
                <wp:inline distT="0" distB="0" distL="0" distR="0" wp14:anchorId="5FE31CD0" wp14:editId="42325E7A">
                  <wp:extent cx="3092400" cy="253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8000"/>
                          </a:xfrm>
                          <a:prstGeom prst="rect">
                            <a:avLst/>
                          </a:prstGeom>
                          <a:noFill/>
                        </pic:spPr>
                      </pic:pic>
                    </a:graphicData>
                  </a:graphic>
                </wp:inline>
              </w:drawing>
            </w:r>
          </w:p>
        </w:tc>
        <w:tc>
          <w:tcPr>
            <w:tcW w:w="4657" w:type="dxa"/>
            <w:tcBorders>
              <w:top w:val="single" w:sz="4" w:space="0" w:color="auto"/>
            </w:tcBorders>
            <w:tcMar>
              <w:left w:w="284" w:type="dxa"/>
            </w:tcMar>
          </w:tcPr>
          <w:p w14:paraId="2982D220" w14:textId="5AA47320" w:rsidR="00BA0F00" w:rsidRPr="00916FC4" w:rsidRDefault="036EAB16" w:rsidP="00692347">
            <w:pPr>
              <w:rPr>
                <w:color w:val="DBDBDB" w:themeColor="background2"/>
              </w:rPr>
            </w:pPr>
            <w:r w:rsidRPr="6925969B">
              <w:rPr>
                <w:rFonts w:eastAsia="Myriad Pro" w:cs="Myriad Pro"/>
                <w:b/>
                <w:bCs/>
              </w:rPr>
              <w:t xml:space="preserve">Po podatkih o vrednosti opravljenih gradbenih del je bila oktobra gradbena aktivnost znatno </w:t>
            </w:r>
            <w:r w:rsidR="5A136CE7" w:rsidRPr="6925969B">
              <w:rPr>
                <w:rFonts w:eastAsia="Myriad Pro" w:cs="Myriad Pro"/>
                <w:b/>
                <w:bCs/>
              </w:rPr>
              <w:t>višj</w:t>
            </w:r>
            <w:r w:rsidR="5B6E5ACE" w:rsidRPr="6925969B">
              <w:rPr>
                <w:rFonts w:eastAsia="Myriad Pro" w:cs="Myriad Pro"/>
                <w:b/>
                <w:bCs/>
              </w:rPr>
              <w:t>a</w:t>
            </w:r>
            <w:r w:rsidRPr="6925969B">
              <w:rPr>
                <w:rFonts w:eastAsia="Myriad Pro" w:cs="Myriad Pro"/>
                <w:b/>
                <w:bCs/>
              </w:rPr>
              <w:t xml:space="preserve"> kot lani.</w:t>
            </w:r>
            <w:r w:rsidRPr="6925969B">
              <w:rPr>
                <w:rFonts w:eastAsia="Myriad Pro" w:cs="Myriad Pro"/>
                <w:b/>
                <w:bCs/>
                <w:sz w:val="18"/>
                <w:szCs w:val="18"/>
              </w:rPr>
              <w:t xml:space="preserve"> </w:t>
            </w:r>
            <w:r w:rsidRPr="6925969B">
              <w:rPr>
                <w:rFonts w:eastAsia="Myriad Pro" w:cs="Myriad Pro"/>
              </w:rPr>
              <w:t xml:space="preserve">Po močni okrepitvi v začetku letošnjega leta je vrednost del v nadaljevanju leta ostala na podobni ravni, oktobra pa se </w:t>
            </w:r>
            <w:r w:rsidR="06A0D8CF" w:rsidRPr="6925969B">
              <w:rPr>
                <w:rFonts w:eastAsia="Myriad Pro" w:cs="Myriad Pro"/>
              </w:rPr>
              <w:t xml:space="preserve">je </w:t>
            </w:r>
            <w:r w:rsidR="75652413" w:rsidRPr="6925969B">
              <w:rPr>
                <w:rFonts w:eastAsia="Myriad Pro" w:cs="Myriad Pro"/>
              </w:rPr>
              <w:t>ponovno</w:t>
            </w:r>
            <w:r w:rsidRPr="6925969B">
              <w:rPr>
                <w:rFonts w:eastAsia="Myriad Pro" w:cs="Myriad Pro"/>
              </w:rPr>
              <w:t xml:space="preserve"> </w:t>
            </w:r>
            <w:r w:rsidR="008B53C7">
              <w:rPr>
                <w:rFonts w:eastAsia="Myriad Pro" w:cs="Myriad Pro"/>
              </w:rPr>
              <w:t>povečala</w:t>
            </w:r>
            <w:r w:rsidR="008B53C7" w:rsidRPr="6925969B">
              <w:rPr>
                <w:rFonts w:eastAsia="Myriad Pro" w:cs="Myriad Pro"/>
              </w:rPr>
              <w:t xml:space="preserve"> </w:t>
            </w:r>
            <w:r w:rsidRPr="6925969B">
              <w:rPr>
                <w:rFonts w:eastAsia="Myriad Pro" w:cs="Myriad Pro"/>
              </w:rPr>
              <w:t>in bila za 54,6</w:t>
            </w:r>
            <w:r w:rsidRPr="6925969B">
              <w:rPr>
                <w:rFonts w:ascii="Arial" w:eastAsia="Arial" w:hAnsi="Arial" w:cs="Arial"/>
              </w:rPr>
              <w:t> </w:t>
            </w:r>
            <w:r w:rsidRPr="6925969B">
              <w:rPr>
                <w:rFonts w:eastAsia="Myriad Pro" w:cs="Myriad Pro"/>
              </w:rPr>
              <w:t xml:space="preserve">% višja kot oktobra lani. V primerjavi s preteklimi leti po aktivnosti izstopa gradnja stavb, visoka je bila tudi v gradnji inženirskih objektov, v specializiranih gradbenih delih (inštalacijska dela, zaključna gradbena dela) pa nižja. </w:t>
            </w:r>
            <w:r w:rsidR="00D24CD5" w:rsidRPr="6925969B">
              <w:rPr>
                <w:rFonts w:eastAsia="Myriad Pro" w:cs="Myriad Pro"/>
              </w:rPr>
              <w:t xml:space="preserve">V prvih desetih mesecih je </w:t>
            </w:r>
            <w:r w:rsidR="649F18FF" w:rsidRPr="6925969B">
              <w:rPr>
                <w:rFonts w:eastAsia="Myriad Pro" w:cs="Myriad Pro"/>
              </w:rPr>
              <w:t xml:space="preserve">bila </w:t>
            </w:r>
            <w:r w:rsidR="2C239232" w:rsidRPr="6925969B">
              <w:rPr>
                <w:rFonts w:eastAsia="Myriad Pro" w:cs="Myriad Pro"/>
              </w:rPr>
              <w:t xml:space="preserve">gradbena aktivnost medletno višja za 29 %, ob tem </w:t>
            </w:r>
            <w:r w:rsidR="649F18FF" w:rsidRPr="6925969B">
              <w:rPr>
                <w:rFonts w:eastAsia="Myriad Pro" w:cs="Myriad Pro"/>
              </w:rPr>
              <w:t>pa</w:t>
            </w:r>
            <w:r w:rsidR="3937B379" w:rsidRPr="6925969B">
              <w:rPr>
                <w:rFonts w:eastAsia="Myriad Pro" w:cs="Myriad Pro"/>
              </w:rPr>
              <w:t xml:space="preserve"> </w:t>
            </w:r>
            <w:r w:rsidR="1EAB80BA" w:rsidRPr="6925969B">
              <w:rPr>
                <w:rFonts w:eastAsia="Myriad Pro" w:cs="Myriad Pro"/>
              </w:rPr>
              <w:t>n</w:t>
            </w:r>
            <w:r w:rsidR="5A136CE7" w:rsidRPr="6925969B">
              <w:rPr>
                <w:rFonts w:eastAsia="Myriad Pro" w:cs="Myriad Pro"/>
              </w:rPr>
              <w:t>ekateri</w:t>
            </w:r>
            <w:r w:rsidRPr="6925969B">
              <w:rPr>
                <w:rFonts w:eastAsia="Myriad Pro" w:cs="Myriad Pro"/>
              </w:rPr>
              <w:t xml:space="preserve"> drugi podatki kažejo na znatno nižjo </w:t>
            </w:r>
            <w:r w:rsidR="5B6E5ACE" w:rsidRPr="6925969B">
              <w:rPr>
                <w:rFonts w:eastAsia="Myriad Pro" w:cs="Myriad Pro"/>
              </w:rPr>
              <w:t>rast</w:t>
            </w:r>
            <w:r w:rsidR="649F18FF" w:rsidRPr="6925969B">
              <w:rPr>
                <w:rFonts w:eastAsia="Myriad Pro" w:cs="Myriad Pro"/>
              </w:rPr>
              <w:t>, razlika je bila največja v zadnjem mesecu</w:t>
            </w:r>
            <w:r w:rsidRPr="6925969B">
              <w:rPr>
                <w:rFonts w:eastAsia="Myriad Pro" w:cs="Myriad Pro"/>
              </w:rPr>
              <w:t>. Po podatkih DDV je bila v prvih desetih mesecih aktivnost podjetij iz dejavnosti gradbeništva za 6</w:t>
            </w:r>
            <w:r w:rsidR="00D24CD5" w:rsidRPr="6925969B">
              <w:rPr>
                <w:rFonts w:eastAsia="Myriad Pro" w:cs="Myriad Pro"/>
              </w:rPr>
              <w:t> </w:t>
            </w:r>
            <w:r w:rsidRPr="6925969B">
              <w:rPr>
                <w:rFonts w:eastAsia="Myriad Pro" w:cs="Myriad Pro"/>
              </w:rPr>
              <w:t>% višja kot lani. Podobno podatki o vrednosti industrijske proizvodnje v dveh dejavnostih, ki sta tradicionalno močno povezani z gradbeništvom, ne nakazuje</w:t>
            </w:r>
            <w:r w:rsidR="00EF5B77">
              <w:rPr>
                <w:rFonts w:eastAsia="Myriad Pro" w:cs="Myriad Pro"/>
              </w:rPr>
              <w:t>jo</w:t>
            </w:r>
            <w:r w:rsidRPr="6925969B">
              <w:rPr>
                <w:rFonts w:eastAsia="Myriad Pro" w:cs="Myriad Pro"/>
              </w:rPr>
              <w:t xml:space="preserve"> na tako visoko rast. V dejavnosti »Pridobivanje rudnin in kamnin« je bila proizvodnja oktobra le za 3,9</w:t>
            </w:r>
            <w:r w:rsidR="2C239232" w:rsidRPr="6925969B">
              <w:rPr>
                <w:rFonts w:eastAsia="Myriad Pro" w:cs="Myriad Pro"/>
              </w:rPr>
              <w:t> </w:t>
            </w:r>
            <w:r w:rsidRPr="6925969B">
              <w:rPr>
                <w:rFonts w:eastAsia="Myriad Pro" w:cs="Myriad Pro"/>
              </w:rPr>
              <w:t>% višja kot oktobra lani, v proizvodnji »nekovinskih mineralnih izdelkov« pa je bila celo za 7,6</w:t>
            </w:r>
            <w:r w:rsidR="2C239232" w:rsidRPr="6925969B">
              <w:rPr>
                <w:rFonts w:eastAsia="Myriad Pro" w:cs="Myriad Pro"/>
              </w:rPr>
              <w:t> </w:t>
            </w:r>
            <w:r w:rsidRPr="6925969B">
              <w:rPr>
                <w:rFonts w:eastAsia="Myriad Pro" w:cs="Myriad Pro"/>
              </w:rPr>
              <w:t>% nižja.</w:t>
            </w:r>
          </w:p>
        </w:tc>
      </w:tr>
    </w:tbl>
    <w:p w14:paraId="605FED92" w14:textId="77777777" w:rsidR="00093214" w:rsidRDefault="00093214">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21"/>
        <w:gridCol w:w="4536"/>
      </w:tblGrid>
      <w:tr w:rsidR="00093214" w14:paraId="65A7CF6E" w14:textId="77777777" w:rsidTr="562B79E7">
        <w:trPr>
          <w:trHeight w:val="207"/>
        </w:trPr>
        <w:tc>
          <w:tcPr>
            <w:tcW w:w="5103" w:type="dxa"/>
            <w:gridSpan w:val="2"/>
            <w:tcBorders>
              <w:bottom w:val="single" w:sz="4" w:space="0" w:color="auto"/>
            </w:tcBorders>
            <w:tcMar>
              <w:left w:w="0" w:type="dxa"/>
            </w:tcMar>
          </w:tcPr>
          <w:p w14:paraId="744B837A" w14:textId="1DC43216" w:rsidR="00093214" w:rsidRPr="006C2117" w:rsidRDefault="00093214" w:rsidP="0018081D">
            <w:pPr>
              <w:pStyle w:val="Naslov31"/>
              <w:jc w:val="left"/>
            </w:pPr>
            <w:r w:rsidRPr="00993218">
              <w:lastRenderedPageBreak/>
              <w:t xml:space="preserve">Število delovno aktivnih oseb, </w:t>
            </w:r>
            <w:r w:rsidR="002F17A4">
              <w:t>oktober</w:t>
            </w:r>
            <w:r w:rsidRPr="00993218">
              <w:t xml:space="preserve"> 2022</w:t>
            </w:r>
          </w:p>
        </w:tc>
        <w:tc>
          <w:tcPr>
            <w:tcW w:w="4536" w:type="dxa"/>
            <w:tcBorders>
              <w:bottom w:val="single" w:sz="4" w:space="0" w:color="auto"/>
            </w:tcBorders>
          </w:tcPr>
          <w:p w14:paraId="0FFFDC01" w14:textId="77777777" w:rsidR="00093214" w:rsidRPr="006C2117" w:rsidRDefault="00093214" w:rsidP="0018081D">
            <w:pPr>
              <w:pStyle w:val="Naslov31"/>
            </w:pPr>
          </w:p>
        </w:tc>
      </w:tr>
      <w:tr w:rsidR="00093214" w14:paraId="2F612AD4" w14:textId="77777777" w:rsidTr="562B79E7">
        <w:trPr>
          <w:trHeight w:val="1134"/>
        </w:trPr>
        <w:tc>
          <w:tcPr>
            <w:tcW w:w="4982" w:type="dxa"/>
            <w:tcBorders>
              <w:top w:val="single" w:sz="4" w:space="0" w:color="auto"/>
            </w:tcBorders>
            <w:tcMar>
              <w:left w:w="0" w:type="dxa"/>
            </w:tcMar>
          </w:tcPr>
          <w:p w14:paraId="71CD8A39" w14:textId="6AC59478" w:rsidR="00093214" w:rsidRDefault="007C47C4" w:rsidP="0018081D">
            <w:pPr>
              <w:pStyle w:val="Odstavekseznama"/>
              <w:ind w:left="0"/>
            </w:pPr>
            <w:r w:rsidRPr="007C47C4">
              <w:rPr>
                <w:noProof/>
              </w:rPr>
              <w:drawing>
                <wp:inline distT="0" distB="0" distL="0" distR="0" wp14:anchorId="76A9090E" wp14:editId="1B76CC6E">
                  <wp:extent cx="3099600" cy="2505600"/>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9600" cy="2505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753C8FAF" w14:textId="015A017F" w:rsidR="00093214" w:rsidRPr="00DF4F0B" w:rsidRDefault="0B8BA41C" w:rsidP="0018081D">
            <w:pPr>
              <w:rPr>
                <w:color w:val="000000" w:themeColor="text1"/>
              </w:rPr>
            </w:pPr>
            <w:r w:rsidRPr="562B79E7">
              <w:rPr>
                <w:b/>
                <w:bCs/>
                <w:color w:val="000000" w:themeColor="text1"/>
              </w:rPr>
              <w:t>Ob rekordno visokem številu delovno aktivnih je bila medletna rast oktobra 2,1-odstotna, kar je nekoliko manj kot prejšnje mesece.</w:t>
            </w:r>
            <w:r w:rsidR="46B97D34" w:rsidRPr="562B79E7">
              <w:rPr>
                <w:b/>
                <w:bCs/>
                <w:color w:val="000000" w:themeColor="text1"/>
              </w:rPr>
              <w:t xml:space="preserve"> </w:t>
            </w:r>
            <w:r w:rsidRPr="562B79E7">
              <w:rPr>
                <w:color w:val="000000" w:themeColor="text1"/>
              </w:rPr>
              <w:t xml:space="preserve">Visoka je ostala v gradbeništvu, ki je dejavnost z velikim pomanjkanjem delovne sile. K skupni rasti delovno aktivnih vedno več prispeva zaposlovanje tujih državljanov – njihov medletni prispevek je bil oktobra že </w:t>
            </w:r>
            <w:r w:rsidR="46B97D34" w:rsidRPr="562B79E7">
              <w:rPr>
                <w:color w:val="000000" w:themeColor="text1"/>
              </w:rPr>
              <w:t>77 </w:t>
            </w:r>
            <w:r w:rsidRPr="562B79E7">
              <w:rPr>
                <w:color w:val="000000" w:themeColor="text1"/>
              </w:rPr>
              <w:t>%. Posledično narašča tudi delež tujcev med vsemi delovno aktivnimi, v zadnjem letu se je povečal za 1,3 o</w:t>
            </w:r>
            <w:r w:rsidR="46B97D34" w:rsidRPr="562B79E7">
              <w:rPr>
                <w:color w:val="000000" w:themeColor="text1"/>
              </w:rPr>
              <w:t>. </w:t>
            </w:r>
            <w:r w:rsidRPr="562B79E7">
              <w:rPr>
                <w:color w:val="000000" w:themeColor="text1"/>
              </w:rPr>
              <w:t>t. na 13,</w:t>
            </w:r>
            <w:r w:rsidR="46B97D34" w:rsidRPr="562B79E7">
              <w:rPr>
                <w:color w:val="000000" w:themeColor="text1"/>
              </w:rPr>
              <w:t>8 </w:t>
            </w:r>
            <w:r w:rsidRPr="562B79E7">
              <w:rPr>
                <w:color w:val="000000" w:themeColor="text1"/>
              </w:rPr>
              <w:t>%. Po deležu tujcev izstopajo gradbeništvo (</w:t>
            </w:r>
            <w:r w:rsidR="46B97D34" w:rsidRPr="562B79E7">
              <w:rPr>
                <w:color w:val="000000" w:themeColor="text1"/>
              </w:rPr>
              <w:t>47 </w:t>
            </w:r>
            <w:r w:rsidRPr="562B79E7">
              <w:rPr>
                <w:color w:val="000000" w:themeColor="text1"/>
              </w:rPr>
              <w:t>%), promet in skladiščenje (</w:t>
            </w:r>
            <w:r w:rsidR="46B97D34" w:rsidRPr="562B79E7">
              <w:rPr>
                <w:color w:val="000000" w:themeColor="text1"/>
              </w:rPr>
              <w:t>32 </w:t>
            </w:r>
            <w:r w:rsidRPr="562B79E7">
              <w:rPr>
                <w:color w:val="000000" w:themeColor="text1"/>
              </w:rPr>
              <w:t>%) ter druge raznovrstne poslovne dejavnosti (</w:t>
            </w:r>
            <w:r w:rsidR="46B97D34" w:rsidRPr="562B79E7">
              <w:rPr>
                <w:color w:val="000000" w:themeColor="text1"/>
              </w:rPr>
              <w:t>26 </w:t>
            </w:r>
            <w:r w:rsidRPr="562B79E7">
              <w:rPr>
                <w:color w:val="000000" w:themeColor="text1"/>
              </w:rPr>
              <w:t>%). V povprečju prvih desetih mesecev je bilo število delovno aktivnih medletno višje za 2,</w:t>
            </w:r>
            <w:r w:rsidR="46B97D34" w:rsidRPr="562B79E7">
              <w:rPr>
                <w:color w:val="000000" w:themeColor="text1"/>
              </w:rPr>
              <w:t>6 </w:t>
            </w:r>
            <w:r w:rsidRPr="562B79E7">
              <w:rPr>
                <w:color w:val="000000" w:themeColor="text1"/>
              </w:rPr>
              <w:t>%.</w:t>
            </w:r>
          </w:p>
        </w:tc>
      </w:tr>
    </w:tbl>
    <w:p w14:paraId="4AB747D5" w14:textId="77777777" w:rsidR="00093214" w:rsidRDefault="00093214" w:rsidP="009C3DB0">
      <w:pPr>
        <w:tabs>
          <w:tab w:val="left" w:pos="580"/>
        </w:tabs>
      </w:pPr>
    </w:p>
    <w:p w14:paraId="124687A3" w14:textId="77777777" w:rsidR="009C3DB0" w:rsidRDefault="009C3DB0" w:rsidP="009C3DB0">
      <w:pPr>
        <w:tabs>
          <w:tab w:val="left" w:pos="580"/>
        </w:tabs>
      </w:pPr>
    </w:p>
    <w:p w14:paraId="22475C0D" w14:textId="77777777" w:rsidR="00FE7254" w:rsidRPr="00FE7254" w:rsidRDefault="00FE7254" w:rsidP="00FE7254">
      <w:pPr>
        <w:sectPr w:rsidR="00FE7254" w:rsidRPr="00FE7254" w:rsidSect="00363E63">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p>
    <w:p w14:paraId="26A312A6" w14:textId="7DC90774" w:rsidR="002E69B6" w:rsidRPr="00887D7E" w:rsidRDefault="00A51BB9" w:rsidP="00C26C8D">
      <w:pPr>
        <w:tabs>
          <w:tab w:val="left" w:pos="580"/>
        </w:tabs>
      </w:pPr>
      <w:r w:rsidRPr="00A51BB9">
        <w:rPr>
          <w:noProof/>
        </w:rPr>
        <w:lastRenderedPageBreak/>
        <w:drawing>
          <wp:inline distT="0" distB="0" distL="0" distR="0" wp14:anchorId="482806BA" wp14:editId="04013A30">
            <wp:extent cx="6120130" cy="90208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9020810"/>
                    </a:xfrm>
                    <a:prstGeom prst="rect">
                      <a:avLst/>
                    </a:prstGeom>
                    <a:noFill/>
                    <a:ln>
                      <a:noFill/>
                    </a:ln>
                  </pic:spPr>
                </pic:pic>
              </a:graphicData>
            </a:graphic>
          </wp:inline>
        </w:drawing>
      </w:r>
    </w:p>
    <w:sectPr w:rsidR="002E69B6" w:rsidRPr="00887D7E" w:rsidSect="00363E63">
      <w:headerReference w:type="default" r:id="rId18"/>
      <w:footerReference w:type="default" r:id="rId19"/>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B0389" w14:textId="77777777" w:rsidR="00F326CE" w:rsidRDefault="00F326CE" w:rsidP="0063497B">
      <w:pPr>
        <w:spacing w:line="240" w:lineRule="auto"/>
      </w:pPr>
      <w:r>
        <w:separator/>
      </w:r>
    </w:p>
  </w:endnote>
  <w:endnote w:type="continuationSeparator" w:id="0">
    <w:p w14:paraId="67B963BF" w14:textId="77777777" w:rsidR="00F326CE" w:rsidRDefault="00F326CE" w:rsidP="0063497B">
      <w:pPr>
        <w:spacing w:line="240" w:lineRule="auto"/>
      </w:pPr>
      <w:r>
        <w:continuationSeparator/>
      </w:r>
    </w:p>
  </w:endnote>
  <w:endnote w:type="continuationNotice" w:id="1">
    <w:p w14:paraId="4FB070FD" w14:textId="77777777" w:rsidR="00F326CE" w:rsidRDefault="00F326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532304C9" w:rsidR="009A0978" w:rsidRPr="00363E63" w:rsidRDefault="009A0978"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017B7F72" w:rsidR="009A0978" w:rsidRPr="00363E63" w:rsidRDefault="009A0978"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Pr="00363E63">
          <w:rPr>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9A0978" w:rsidRPr="00C26C8D" w:rsidRDefault="009A0978"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9A0978" w:rsidRPr="00C26C8D" w:rsidRDefault="009A0978" w:rsidP="00C26C8D">
    <w:pPr>
      <w:pStyle w:val="Naslov31"/>
      <w:tabs>
        <w:tab w:val="right" w:pos="9638"/>
      </w:tabs>
      <w:jc w:val="left"/>
      <w:rPr>
        <w:b w:val="0"/>
        <w:sz w:val="18"/>
        <w:szCs w:val="18"/>
      </w:rPr>
    </w:pPr>
  </w:p>
  <w:p w14:paraId="6B87A005" w14:textId="77777777" w:rsidR="009A0978" w:rsidRPr="00363E63" w:rsidRDefault="009A0978"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88B5D" w14:textId="77777777" w:rsidR="00F326CE" w:rsidRDefault="00F326CE" w:rsidP="0063497B">
      <w:pPr>
        <w:spacing w:line="240" w:lineRule="auto"/>
      </w:pPr>
      <w:r>
        <w:separator/>
      </w:r>
    </w:p>
  </w:footnote>
  <w:footnote w:type="continuationSeparator" w:id="0">
    <w:p w14:paraId="6F9FE973" w14:textId="77777777" w:rsidR="00F326CE" w:rsidRDefault="00F326CE" w:rsidP="0063497B">
      <w:pPr>
        <w:spacing w:line="240" w:lineRule="auto"/>
      </w:pPr>
      <w:r>
        <w:continuationSeparator/>
      </w:r>
    </w:p>
  </w:footnote>
  <w:footnote w:type="continuationNotice" w:id="1">
    <w:p w14:paraId="7907B705" w14:textId="77777777" w:rsidR="00F326CE" w:rsidRDefault="00F326CE">
      <w:pPr>
        <w:spacing w:line="240" w:lineRule="auto"/>
      </w:pPr>
    </w:p>
  </w:footnote>
  <w:footnote w:id="2">
    <w:p w14:paraId="0472F0C9" w14:textId="77777777" w:rsidR="00BF2D20" w:rsidRDefault="00BF2D20" w:rsidP="00BF2D20">
      <w:pPr>
        <w:pStyle w:val="Sprotnaopomba-besedilo"/>
      </w:pPr>
      <w:r w:rsidRPr="00B62E4D">
        <w:rPr>
          <w:rStyle w:val="Sprotnaopomba-sklic"/>
        </w:rPr>
        <w:footnoteRef/>
      </w:r>
      <w:r>
        <w:t xml:space="preserve"> </w:t>
      </w:r>
      <w:r w:rsidRPr="56653609">
        <w:rPr>
          <w:rFonts w:eastAsia="Myriad Pro" w:cs="Myriad Pro"/>
        </w:rPr>
        <w:t>Skladno z Uredbo Sveta (EU) 2022/1369 z dne 5. avgusta 2022 o usklajenih ukrepih za zmanjšanje povpraševanja po plinu naj bi od 1. avgusta 2022 do 31. marca 2023 vse države EU znižale porabo plina glede na povprečno porabo v enakem obdobju prejšnjih petih let za 15</w:t>
      </w:r>
      <w:r>
        <w:rPr>
          <w:rFonts w:eastAsia="Myriad Pro" w:cs="Myriad Pro"/>
        </w:rPr>
        <w:t> </w:t>
      </w:r>
      <w:r w:rsidRPr="56653609">
        <w:rPr>
          <w:rFonts w:eastAsia="Myriad Pro" w:cs="Myriad Pro"/>
        </w:rPr>
        <w:t>%.</w:t>
      </w:r>
    </w:p>
  </w:footnote>
  <w:footnote w:id="3">
    <w:p w14:paraId="488C0D96" w14:textId="77777777" w:rsidR="00BF2D20" w:rsidRDefault="00BF2D20" w:rsidP="00BF2D20">
      <w:pPr>
        <w:pStyle w:val="Sprotnaopomba-besedilo"/>
      </w:pPr>
      <w:r w:rsidRPr="00B62E4D">
        <w:rPr>
          <w:rStyle w:val="Sprotnaopomba-sklic"/>
        </w:rPr>
        <w:footnoteRef/>
      </w:r>
      <w:r>
        <w:t xml:space="preserve"> </w:t>
      </w:r>
      <w:r w:rsidRPr="56653609">
        <w:rPr>
          <w:rFonts w:eastAsia="Myriad Pro" w:cs="Myriad Pro"/>
        </w:rPr>
        <w:t>Po podatkih SURS so v letu 2021 v Sloveniji največ plina, 62 %</w:t>
      </w:r>
      <w:r>
        <w:rPr>
          <w:rFonts w:eastAsia="Myriad Pro" w:cs="Myriad Pro"/>
        </w:rPr>
        <w:t>,</w:t>
      </w:r>
      <w:r w:rsidRPr="56653609">
        <w:rPr>
          <w:rFonts w:eastAsia="Myriad Pro" w:cs="Myriad Pro"/>
        </w:rPr>
        <w:t xml:space="preserve"> neposredno porabili v predelovalnih dejavnostih in gradbeništvu, 15</w:t>
      </w:r>
      <w:r>
        <w:rPr>
          <w:rFonts w:eastAsia="Myriad Pro" w:cs="Myriad Pro"/>
        </w:rPr>
        <w:t> </w:t>
      </w:r>
      <w:r w:rsidRPr="56653609">
        <w:rPr>
          <w:rFonts w:eastAsia="Myriad Pro" w:cs="Myriad Pro"/>
        </w:rPr>
        <w:t>% v gospodinjstvih, ostalo pa zlasti za proizvodnjo toplote in elektrike.</w:t>
      </w:r>
    </w:p>
  </w:footnote>
  <w:footnote w:id="4">
    <w:p w14:paraId="57FBA44F" w14:textId="77777777" w:rsidR="00AE4AFE" w:rsidRDefault="00AE4AFE" w:rsidP="00AE4AFE">
      <w:pPr>
        <w:pStyle w:val="Sprotnaopomba-besedilo"/>
      </w:pPr>
      <w:r w:rsidRPr="00B62E4D">
        <w:rPr>
          <w:rStyle w:val="Sprotnaopomba-sklic"/>
        </w:rPr>
        <w:footnoteRef/>
      </w:r>
      <w:r>
        <w:t xml:space="preserve"> </w:t>
      </w:r>
      <w:r w:rsidRPr="56653609">
        <w:rPr>
          <w:rFonts w:eastAsia="Myriad Pro" w:cs="Myriad Pro"/>
        </w:rPr>
        <w:t xml:space="preserve">Po informacijah družbe Plinovodi je 12. novembra 2022 napolnjenost skladišč plina v EU </w:t>
      </w:r>
      <w:r>
        <w:rPr>
          <w:rFonts w:eastAsia="Myriad Pro" w:cs="Myriad Pro"/>
        </w:rPr>
        <w:t>do</w:t>
      </w:r>
      <w:r w:rsidRPr="56653609">
        <w:rPr>
          <w:rFonts w:eastAsia="Myriad Pro" w:cs="Myriad Pro"/>
        </w:rPr>
        <w:t>segla 95,5</w:t>
      </w:r>
      <w:r>
        <w:rPr>
          <w:rFonts w:eastAsia="Myriad Pro" w:cs="Myriad Pro"/>
        </w:rPr>
        <w:t> </w:t>
      </w:r>
      <w:r w:rsidRPr="56653609">
        <w:rPr>
          <w:rFonts w:eastAsia="Myriad Pro" w:cs="Myriad Pro"/>
        </w:rPr>
        <w:t xml:space="preserve">%, nato pa se je začela zmanjševati in je </w:t>
      </w:r>
      <w:r>
        <w:rPr>
          <w:rFonts w:eastAsia="Myriad Pro" w:cs="Myriad Pro"/>
        </w:rPr>
        <w:t>10</w:t>
      </w:r>
      <w:r w:rsidRPr="56653609">
        <w:rPr>
          <w:rFonts w:eastAsia="Myriad Pro" w:cs="Myriad Pro"/>
        </w:rPr>
        <w:t xml:space="preserve">. </w:t>
      </w:r>
      <w:r>
        <w:rPr>
          <w:rFonts w:eastAsia="Myriad Pro" w:cs="Myriad Pro"/>
        </w:rPr>
        <w:t>dece</w:t>
      </w:r>
      <w:r w:rsidRPr="56653609">
        <w:rPr>
          <w:rFonts w:eastAsia="Myriad Pro" w:cs="Myriad Pro"/>
        </w:rPr>
        <w:t xml:space="preserve">mbra znašala </w:t>
      </w:r>
      <w:r>
        <w:rPr>
          <w:rFonts w:eastAsia="Myriad Pro" w:cs="Myriad Pro"/>
        </w:rPr>
        <w:t>88</w:t>
      </w:r>
      <w:r w:rsidRPr="56653609">
        <w:rPr>
          <w:rFonts w:eastAsia="Myriad Pro" w:cs="Myriad Pro"/>
        </w:rPr>
        <w:t>,</w:t>
      </w:r>
      <w:r>
        <w:rPr>
          <w:rFonts w:eastAsia="Myriad Pro" w:cs="Myriad Pro"/>
        </w:rPr>
        <w:t>5 </w:t>
      </w:r>
      <w:r w:rsidRPr="56653609">
        <w:rPr>
          <w:rFonts w:eastAsia="Myriad Pro" w:cs="Myriad Pro"/>
        </w:rPr>
        <w:t>%.</w:t>
      </w:r>
    </w:p>
  </w:footnote>
  <w:footnote w:id="5">
    <w:p w14:paraId="6150F917" w14:textId="77777777" w:rsidR="00054692" w:rsidRPr="002B5CA3" w:rsidRDefault="00054692" w:rsidP="00054692">
      <w:pPr>
        <w:pStyle w:val="Sprotnaopomba-besedilo"/>
        <w:rPr>
          <w:sz w:val="18"/>
        </w:rPr>
      </w:pPr>
      <w:r>
        <w:rPr>
          <w:rStyle w:val="Sprotnaopomba-sklic"/>
        </w:rPr>
        <w:footnoteRef/>
      </w:r>
      <w:r>
        <w:t xml:space="preserve"> </w:t>
      </w:r>
      <w:r w:rsidRPr="00054692">
        <w:rPr>
          <w:rFonts w:eastAsia="Myriad Pro" w:cs="Myriad Pro"/>
          <w:color w:val="000000" w:themeColor="text1"/>
          <w:lang w:val="sl"/>
        </w:rPr>
        <w:t>Po septembrski razširitvi pogoja PCT na uporabnike večine storitev so se lani novembra ukrepi za zamejitev epidemije še zaostrili</w:t>
      </w:r>
      <w:r w:rsidRPr="00054692">
        <w:t xml:space="preserve">. </w:t>
      </w:r>
      <w:r w:rsidRPr="00054692">
        <w:rPr>
          <w:rFonts w:eastAsia="Myriad Pro" w:cs="Myriad Pro"/>
          <w:color w:val="000000" w:themeColor="text1"/>
          <w:lang w:val="sl"/>
        </w:rPr>
        <w:t>Omejen je bil odpiralni čas gostinskih obratov, obratovanje diskotek in gostinskih lokalov, ki nudijo glasbo, ni bilo dovoljeno, omejeno je bilo zbiranje ljudi, pogoj PCT je bilo treba izkazati z veljavnim osebnim dokumentom itd.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52EF8EB8" w:rsidR="009A0978" w:rsidRDefault="009A0978" w:rsidP="00652795">
    <w:pPr>
      <w:jc w:val="right"/>
    </w:pPr>
    <w:r w:rsidRPr="0029405F">
      <w:rPr>
        <w:noProof/>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D27BDB">
      <w:t>1</w:t>
    </w:r>
    <w:r w:rsidR="005321D5">
      <w:t>9</w:t>
    </w:r>
    <w:r>
      <w:t xml:space="preserve">. </w:t>
    </w:r>
    <w:r w:rsidR="00D27BDB">
      <w:t>december</w:t>
    </w:r>
    <w:r>
      <w:t xml:space="preserve"> 2022</w:t>
    </w:r>
  </w:p>
  <w:p w14:paraId="4BCD6FCD" w14:textId="77777777" w:rsidR="009A0978" w:rsidRDefault="009A0978" w:rsidP="00FE7254">
    <w:pPr>
      <w:jc w:val="right"/>
    </w:pPr>
  </w:p>
  <w:p w14:paraId="2346E65D" w14:textId="77777777" w:rsidR="009A0978" w:rsidRDefault="009A0978" w:rsidP="00FE7254">
    <w:pPr>
      <w:jc w:val="right"/>
    </w:pPr>
  </w:p>
  <w:p w14:paraId="72003DEC" w14:textId="77777777" w:rsidR="009A0978" w:rsidRDefault="009A0978"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9A0978" w:rsidRPr="00C26C8D" w:rsidRDefault="009A0978" w:rsidP="00C26C8D">
    <w:pPr>
      <w:pStyle w:val="Glava"/>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1002"/>
    <w:rsid w:val="00004D56"/>
    <w:rsid w:val="00005E4B"/>
    <w:rsid w:val="00006CDC"/>
    <w:rsid w:val="00014A64"/>
    <w:rsid w:val="00016923"/>
    <w:rsid w:val="00021B8C"/>
    <w:rsid w:val="000227A4"/>
    <w:rsid w:val="0002391A"/>
    <w:rsid w:val="00024EF0"/>
    <w:rsid w:val="000257A3"/>
    <w:rsid w:val="00026AAA"/>
    <w:rsid w:val="000407E8"/>
    <w:rsid w:val="00041021"/>
    <w:rsid w:val="0004116E"/>
    <w:rsid w:val="000425EA"/>
    <w:rsid w:val="0004410D"/>
    <w:rsid w:val="0005322C"/>
    <w:rsid w:val="00054458"/>
    <w:rsid w:val="00054692"/>
    <w:rsid w:val="00055BD4"/>
    <w:rsid w:val="00060808"/>
    <w:rsid w:val="00061F03"/>
    <w:rsid w:val="00062E0D"/>
    <w:rsid w:val="00064E87"/>
    <w:rsid w:val="00065B72"/>
    <w:rsid w:val="00066060"/>
    <w:rsid w:val="00070313"/>
    <w:rsid w:val="000703C7"/>
    <w:rsid w:val="00070B6E"/>
    <w:rsid w:val="00071007"/>
    <w:rsid w:val="00073C2B"/>
    <w:rsid w:val="00077F13"/>
    <w:rsid w:val="000802F5"/>
    <w:rsid w:val="00083B7F"/>
    <w:rsid w:val="00087E6A"/>
    <w:rsid w:val="00092592"/>
    <w:rsid w:val="00093214"/>
    <w:rsid w:val="00096101"/>
    <w:rsid w:val="00097DD5"/>
    <w:rsid w:val="000A5A42"/>
    <w:rsid w:val="000A6A64"/>
    <w:rsid w:val="000A7BDC"/>
    <w:rsid w:val="000B2332"/>
    <w:rsid w:val="000B2627"/>
    <w:rsid w:val="000B5B96"/>
    <w:rsid w:val="000C450B"/>
    <w:rsid w:val="000C5DFC"/>
    <w:rsid w:val="000D3F8B"/>
    <w:rsid w:val="000D4661"/>
    <w:rsid w:val="000D7845"/>
    <w:rsid w:val="000E0B03"/>
    <w:rsid w:val="000E0C96"/>
    <w:rsid w:val="000F18E2"/>
    <w:rsid w:val="000F5315"/>
    <w:rsid w:val="00101E8B"/>
    <w:rsid w:val="00110B3C"/>
    <w:rsid w:val="00111DFE"/>
    <w:rsid w:val="00112B3E"/>
    <w:rsid w:val="00115501"/>
    <w:rsid w:val="00115E8D"/>
    <w:rsid w:val="00116668"/>
    <w:rsid w:val="00120162"/>
    <w:rsid w:val="00123A5A"/>
    <w:rsid w:val="00123D52"/>
    <w:rsid w:val="001255CD"/>
    <w:rsid w:val="0012725B"/>
    <w:rsid w:val="00127822"/>
    <w:rsid w:val="00133E20"/>
    <w:rsid w:val="0014161A"/>
    <w:rsid w:val="00150890"/>
    <w:rsid w:val="00150D0F"/>
    <w:rsid w:val="001557F1"/>
    <w:rsid w:val="0016111E"/>
    <w:rsid w:val="00161807"/>
    <w:rsid w:val="00162E99"/>
    <w:rsid w:val="00167096"/>
    <w:rsid w:val="00170703"/>
    <w:rsid w:val="00175B27"/>
    <w:rsid w:val="00176407"/>
    <w:rsid w:val="0018081D"/>
    <w:rsid w:val="00181CF5"/>
    <w:rsid w:val="00182319"/>
    <w:rsid w:val="001847BE"/>
    <w:rsid w:val="00187DC1"/>
    <w:rsid w:val="00190B5F"/>
    <w:rsid w:val="0019138D"/>
    <w:rsid w:val="00191F0E"/>
    <w:rsid w:val="00192B58"/>
    <w:rsid w:val="001A0B7D"/>
    <w:rsid w:val="001A0C6A"/>
    <w:rsid w:val="001A0C98"/>
    <w:rsid w:val="001A3E47"/>
    <w:rsid w:val="001A4E20"/>
    <w:rsid w:val="001A656B"/>
    <w:rsid w:val="001B475E"/>
    <w:rsid w:val="001B6AE7"/>
    <w:rsid w:val="001B6FAE"/>
    <w:rsid w:val="001B7402"/>
    <w:rsid w:val="001C03A0"/>
    <w:rsid w:val="001C2D69"/>
    <w:rsid w:val="001C3E55"/>
    <w:rsid w:val="001D1DF5"/>
    <w:rsid w:val="001D2917"/>
    <w:rsid w:val="001D3E77"/>
    <w:rsid w:val="001D6793"/>
    <w:rsid w:val="001D76BE"/>
    <w:rsid w:val="001E3587"/>
    <w:rsid w:val="001E3956"/>
    <w:rsid w:val="001E66B1"/>
    <w:rsid w:val="001F4E8F"/>
    <w:rsid w:val="001F51CD"/>
    <w:rsid w:val="001F5764"/>
    <w:rsid w:val="002040EA"/>
    <w:rsid w:val="0020683D"/>
    <w:rsid w:val="00213015"/>
    <w:rsid w:val="00215DA0"/>
    <w:rsid w:val="002220F4"/>
    <w:rsid w:val="0022245A"/>
    <w:rsid w:val="002229E0"/>
    <w:rsid w:val="00222F75"/>
    <w:rsid w:val="0022644C"/>
    <w:rsid w:val="00226C04"/>
    <w:rsid w:val="00230BB4"/>
    <w:rsid w:val="002362D3"/>
    <w:rsid w:val="00236656"/>
    <w:rsid w:val="002374F8"/>
    <w:rsid w:val="0024091B"/>
    <w:rsid w:val="0024119A"/>
    <w:rsid w:val="00242C71"/>
    <w:rsid w:val="0024323E"/>
    <w:rsid w:val="00243593"/>
    <w:rsid w:val="0024378B"/>
    <w:rsid w:val="002461D2"/>
    <w:rsid w:val="00246CF1"/>
    <w:rsid w:val="002511CF"/>
    <w:rsid w:val="00252E25"/>
    <w:rsid w:val="00253AF0"/>
    <w:rsid w:val="002540FD"/>
    <w:rsid w:val="002551D9"/>
    <w:rsid w:val="00255F95"/>
    <w:rsid w:val="0026341B"/>
    <w:rsid w:val="00263CDF"/>
    <w:rsid w:val="0026509A"/>
    <w:rsid w:val="00271747"/>
    <w:rsid w:val="0027286B"/>
    <w:rsid w:val="00274D3F"/>
    <w:rsid w:val="0028665C"/>
    <w:rsid w:val="00290CA7"/>
    <w:rsid w:val="00291679"/>
    <w:rsid w:val="0029405F"/>
    <w:rsid w:val="00296BEC"/>
    <w:rsid w:val="002A62E5"/>
    <w:rsid w:val="002B025E"/>
    <w:rsid w:val="002B058F"/>
    <w:rsid w:val="002B113D"/>
    <w:rsid w:val="002B4319"/>
    <w:rsid w:val="002B4C3A"/>
    <w:rsid w:val="002B5361"/>
    <w:rsid w:val="002B617D"/>
    <w:rsid w:val="002B67C9"/>
    <w:rsid w:val="002C5AFE"/>
    <w:rsid w:val="002C75CC"/>
    <w:rsid w:val="002D46EF"/>
    <w:rsid w:val="002D753B"/>
    <w:rsid w:val="002D77C5"/>
    <w:rsid w:val="002E20DD"/>
    <w:rsid w:val="002E64A4"/>
    <w:rsid w:val="002E655C"/>
    <w:rsid w:val="002E69B6"/>
    <w:rsid w:val="002E6AC2"/>
    <w:rsid w:val="002E6F0D"/>
    <w:rsid w:val="002E6FAD"/>
    <w:rsid w:val="002F00BB"/>
    <w:rsid w:val="002F0448"/>
    <w:rsid w:val="002F17A4"/>
    <w:rsid w:val="002F45CB"/>
    <w:rsid w:val="00301B51"/>
    <w:rsid w:val="00305883"/>
    <w:rsid w:val="00306767"/>
    <w:rsid w:val="00312D09"/>
    <w:rsid w:val="003159CC"/>
    <w:rsid w:val="00325655"/>
    <w:rsid w:val="00326150"/>
    <w:rsid w:val="0032707E"/>
    <w:rsid w:val="00327AF7"/>
    <w:rsid w:val="0033042F"/>
    <w:rsid w:val="003305D2"/>
    <w:rsid w:val="00330DEB"/>
    <w:rsid w:val="00331DD6"/>
    <w:rsid w:val="00333B2F"/>
    <w:rsid w:val="0034156F"/>
    <w:rsid w:val="00342F7A"/>
    <w:rsid w:val="0034385F"/>
    <w:rsid w:val="003443B1"/>
    <w:rsid w:val="00345706"/>
    <w:rsid w:val="00346E79"/>
    <w:rsid w:val="00350999"/>
    <w:rsid w:val="00350A64"/>
    <w:rsid w:val="003524EB"/>
    <w:rsid w:val="0035658B"/>
    <w:rsid w:val="00356832"/>
    <w:rsid w:val="00363E63"/>
    <w:rsid w:val="003640E5"/>
    <w:rsid w:val="00364A8F"/>
    <w:rsid w:val="00365D68"/>
    <w:rsid w:val="00366D68"/>
    <w:rsid w:val="00371828"/>
    <w:rsid w:val="00374467"/>
    <w:rsid w:val="00374B90"/>
    <w:rsid w:val="0037709E"/>
    <w:rsid w:val="00380056"/>
    <w:rsid w:val="00381F22"/>
    <w:rsid w:val="003831A6"/>
    <w:rsid w:val="0038500A"/>
    <w:rsid w:val="00386C31"/>
    <w:rsid w:val="00390947"/>
    <w:rsid w:val="00394109"/>
    <w:rsid w:val="00394FBC"/>
    <w:rsid w:val="00396859"/>
    <w:rsid w:val="003974F8"/>
    <w:rsid w:val="003A1B12"/>
    <w:rsid w:val="003A23E4"/>
    <w:rsid w:val="003A26B5"/>
    <w:rsid w:val="003A454D"/>
    <w:rsid w:val="003A49D8"/>
    <w:rsid w:val="003B14A1"/>
    <w:rsid w:val="003B55C2"/>
    <w:rsid w:val="003B76CF"/>
    <w:rsid w:val="003B7B25"/>
    <w:rsid w:val="003C0556"/>
    <w:rsid w:val="003C1005"/>
    <w:rsid w:val="003C2454"/>
    <w:rsid w:val="003C3C52"/>
    <w:rsid w:val="003C44D9"/>
    <w:rsid w:val="003C4E6F"/>
    <w:rsid w:val="003C614E"/>
    <w:rsid w:val="003C6951"/>
    <w:rsid w:val="003D0FA7"/>
    <w:rsid w:val="003D1203"/>
    <w:rsid w:val="003D2CFA"/>
    <w:rsid w:val="003D58DF"/>
    <w:rsid w:val="003E0230"/>
    <w:rsid w:val="003E5239"/>
    <w:rsid w:val="003E5ADA"/>
    <w:rsid w:val="003E5C15"/>
    <w:rsid w:val="003E64D6"/>
    <w:rsid w:val="003F30E4"/>
    <w:rsid w:val="003F4C1B"/>
    <w:rsid w:val="004041D4"/>
    <w:rsid w:val="0040719E"/>
    <w:rsid w:val="004079CD"/>
    <w:rsid w:val="004123A3"/>
    <w:rsid w:val="00415098"/>
    <w:rsid w:val="004204B9"/>
    <w:rsid w:val="004255B4"/>
    <w:rsid w:val="004271E0"/>
    <w:rsid w:val="00431E69"/>
    <w:rsid w:val="00431EDD"/>
    <w:rsid w:val="004351F9"/>
    <w:rsid w:val="004368FB"/>
    <w:rsid w:val="00444120"/>
    <w:rsid w:val="00445954"/>
    <w:rsid w:val="00446303"/>
    <w:rsid w:val="0044650F"/>
    <w:rsid w:val="00452589"/>
    <w:rsid w:val="00452804"/>
    <w:rsid w:val="004533D3"/>
    <w:rsid w:val="0045444B"/>
    <w:rsid w:val="00454E68"/>
    <w:rsid w:val="00455141"/>
    <w:rsid w:val="00461BCB"/>
    <w:rsid w:val="00462BA6"/>
    <w:rsid w:val="004636A5"/>
    <w:rsid w:val="00464D01"/>
    <w:rsid w:val="00467144"/>
    <w:rsid w:val="0046726B"/>
    <w:rsid w:val="00467D2C"/>
    <w:rsid w:val="004712B8"/>
    <w:rsid w:val="00471DFC"/>
    <w:rsid w:val="004729A1"/>
    <w:rsid w:val="00472EF9"/>
    <w:rsid w:val="0047514E"/>
    <w:rsid w:val="00477274"/>
    <w:rsid w:val="0048123F"/>
    <w:rsid w:val="00485BB1"/>
    <w:rsid w:val="0049501B"/>
    <w:rsid w:val="00496E7F"/>
    <w:rsid w:val="004970E5"/>
    <w:rsid w:val="00497D53"/>
    <w:rsid w:val="004A37A6"/>
    <w:rsid w:val="004A574A"/>
    <w:rsid w:val="004A6A8D"/>
    <w:rsid w:val="004B013F"/>
    <w:rsid w:val="004B235F"/>
    <w:rsid w:val="004B2A84"/>
    <w:rsid w:val="004B49B6"/>
    <w:rsid w:val="004C0A16"/>
    <w:rsid w:val="004C278D"/>
    <w:rsid w:val="004C2835"/>
    <w:rsid w:val="004C30D1"/>
    <w:rsid w:val="004D0C06"/>
    <w:rsid w:val="004D1C88"/>
    <w:rsid w:val="004D2BC3"/>
    <w:rsid w:val="004D2D1C"/>
    <w:rsid w:val="004D4230"/>
    <w:rsid w:val="004D43F4"/>
    <w:rsid w:val="004D5D4E"/>
    <w:rsid w:val="004D63EF"/>
    <w:rsid w:val="004E107A"/>
    <w:rsid w:val="004E1AF2"/>
    <w:rsid w:val="004E1F41"/>
    <w:rsid w:val="004E2181"/>
    <w:rsid w:val="004F320B"/>
    <w:rsid w:val="004F3835"/>
    <w:rsid w:val="004F61F1"/>
    <w:rsid w:val="004F72E3"/>
    <w:rsid w:val="00506505"/>
    <w:rsid w:val="00506E6D"/>
    <w:rsid w:val="00520115"/>
    <w:rsid w:val="005224F3"/>
    <w:rsid w:val="005237A1"/>
    <w:rsid w:val="0052505D"/>
    <w:rsid w:val="005321D5"/>
    <w:rsid w:val="005326CC"/>
    <w:rsid w:val="00533109"/>
    <w:rsid w:val="00534457"/>
    <w:rsid w:val="005361E9"/>
    <w:rsid w:val="0054158F"/>
    <w:rsid w:val="005468A2"/>
    <w:rsid w:val="00546DBF"/>
    <w:rsid w:val="00555A80"/>
    <w:rsid w:val="00561C9A"/>
    <w:rsid w:val="0056680E"/>
    <w:rsid w:val="00566D6E"/>
    <w:rsid w:val="00573CF2"/>
    <w:rsid w:val="0058006D"/>
    <w:rsid w:val="0058052D"/>
    <w:rsid w:val="005806D5"/>
    <w:rsid w:val="005965AF"/>
    <w:rsid w:val="005977D2"/>
    <w:rsid w:val="005A2EF5"/>
    <w:rsid w:val="005A70C8"/>
    <w:rsid w:val="005A7DEB"/>
    <w:rsid w:val="005B0C7D"/>
    <w:rsid w:val="005B4C57"/>
    <w:rsid w:val="005B6FC5"/>
    <w:rsid w:val="005C2106"/>
    <w:rsid w:val="005C2C5C"/>
    <w:rsid w:val="005C3B6F"/>
    <w:rsid w:val="005C489E"/>
    <w:rsid w:val="005C4D2E"/>
    <w:rsid w:val="005C4E83"/>
    <w:rsid w:val="005C769B"/>
    <w:rsid w:val="005D285A"/>
    <w:rsid w:val="005D3726"/>
    <w:rsid w:val="005D7078"/>
    <w:rsid w:val="005D71A4"/>
    <w:rsid w:val="005E6F08"/>
    <w:rsid w:val="005F2004"/>
    <w:rsid w:val="005F5C51"/>
    <w:rsid w:val="00600E28"/>
    <w:rsid w:val="0060240D"/>
    <w:rsid w:val="0060300C"/>
    <w:rsid w:val="00612374"/>
    <w:rsid w:val="00613F54"/>
    <w:rsid w:val="00613F73"/>
    <w:rsid w:val="00614A02"/>
    <w:rsid w:val="00623BBE"/>
    <w:rsid w:val="006269CE"/>
    <w:rsid w:val="00632222"/>
    <w:rsid w:val="0063497B"/>
    <w:rsid w:val="00637D5B"/>
    <w:rsid w:val="006421BC"/>
    <w:rsid w:val="00643ACC"/>
    <w:rsid w:val="00650921"/>
    <w:rsid w:val="00652795"/>
    <w:rsid w:val="0065447B"/>
    <w:rsid w:val="00654FA7"/>
    <w:rsid w:val="006571E5"/>
    <w:rsid w:val="00657585"/>
    <w:rsid w:val="00662E1E"/>
    <w:rsid w:val="0066322D"/>
    <w:rsid w:val="0067095F"/>
    <w:rsid w:val="00671853"/>
    <w:rsid w:val="00681569"/>
    <w:rsid w:val="006851CA"/>
    <w:rsid w:val="006875F1"/>
    <w:rsid w:val="00687A6B"/>
    <w:rsid w:val="00692347"/>
    <w:rsid w:val="006965FC"/>
    <w:rsid w:val="006979EF"/>
    <w:rsid w:val="006A15CC"/>
    <w:rsid w:val="006A2CFB"/>
    <w:rsid w:val="006A595B"/>
    <w:rsid w:val="006A6820"/>
    <w:rsid w:val="006A7079"/>
    <w:rsid w:val="006B1CDC"/>
    <w:rsid w:val="006B3D3D"/>
    <w:rsid w:val="006B60A0"/>
    <w:rsid w:val="006B7430"/>
    <w:rsid w:val="006B7DA3"/>
    <w:rsid w:val="006C2117"/>
    <w:rsid w:val="006C2E31"/>
    <w:rsid w:val="006C6657"/>
    <w:rsid w:val="006C66CB"/>
    <w:rsid w:val="006C6FC9"/>
    <w:rsid w:val="006C7DB4"/>
    <w:rsid w:val="006D3EED"/>
    <w:rsid w:val="006E1C81"/>
    <w:rsid w:val="006E6B3C"/>
    <w:rsid w:val="006F3B53"/>
    <w:rsid w:val="00700737"/>
    <w:rsid w:val="007016EF"/>
    <w:rsid w:val="007121F2"/>
    <w:rsid w:val="00714319"/>
    <w:rsid w:val="00722B61"/>
    <w:rsid w:val="00723863"/>
    <w:rsid w:val="00731125"/>
    <w:rsid w:val="00731B6F"/>
    <w:rsid w:val="00737361"/>
    <w:rsid w:val="0074452D"/>
    <w:rsid w:val="0074466E"/>
    <w:rsid w:val="00744E82"/>
    <w:rsid w:val="007503B7"/>
    <w:rsid w:val="00750B0D"/>
    <w:rsid w:val="007511AD"/>
    <w:rsid w:val="00751346"/>
    <w:rsid w:val="00760562"/>
    <w:rsid w:val="00762194"/>
    <w:rsid w:val="00766241"/>
    <w:rsid w:val="00771468"/>
    <w:rsid w:val="00771D42"/>
    <w:rsid w:val="0077495E"/>
    <w:rsid w:val="00777337"/>
    <w:rsid w:val="0078321F"/>
    <w:rsid w:val="00786303"/>
    <w:rsid w:val="0079410F"/>
    <w:rsid w:val="00795200"/>
    <w:rsid w:val="007971E2"/>
    <w:rsid w:val="007A0B59"/>
    <w:rsid w:val="007A1CD0"/>
    <w:rsid w:val="007A3A82"/>
    <w:rsid w:val="007A414F"/>
    <w:rsid w:val="007A5BDF"/>
    <w:rsid w:val="007A79D4"/>
    <w:rsid w:val="007B189A"/>
    <w:rsid w:val="007B6C89"/>
    <w:rsid w:val="007B7110"/>
    <w:rsid w:val="007C26AA"/>
    <w:rsid w:val="007C47C4"/>
    <w:rsid w:val="007C48CF"/>
    <w:rsid w:val="007D0791"/>
    <w:rsid w:val="007D164F"/>
    <w:rsid w:val="007D1929"/>
    <w:rsid w:val="007D3896"/>
    <w:rsid w:val="007D4A37"/>
    <w:rsid w:val="007E659C"/>
    <w:rsid w:val="007F1307"/>
    <w:rsid w:val="007F6069"/>
    <w:rsid w:val="00800BCD"/>
    <w:rsid w:val="00801D7A"/>
    <w:rsid w:val="0080541B"/>
    <w:rsid w:val="00805D7C"/>
    <w:rsid w:val="00812D81"/>
    <w:rsid w:val="00820AB1"/>
    <w:rsid w:val="00827BAD"/>
    <w:rsid w:val="0083025B"/>
    <w:rsid w:val="0083204F"/>
    <w:rsid w:val="00833C7F"/>
    <w:rsid w:val="00835A2A"/>
    <w:rsid w:val="00840074"/>
    <w:rsid w:val="0084348E"/>
    <w:rsid w:val="008442F2"/>
    <w:rsid w:val="00852E3D"/>
    <w:rsid w:val="00856375"/>
    <w:rsid w:val="00860582"/>
    <w:rsid w:val="008649A7"/>
    <w:rsid w:val="008666F9"/>
    <w:rsid w:val="00874615"/>
    <w:rsid w:val="008752A0"/>
    <w:rsid w:val="00877AB3"/>
    <w:rsid w:val="00882BE5"/>
    <w:rsid w:val="00883786"/>
    <w:rsid w:val="00884A45"/>
    <w:rsid w:val="00886885"/>
    <w:rsid w:val="00886AD3"/>
    <w:rsid w:val="00887D7E"/>
    <w:rsid w:val="00890A09"/>
    <w:rsid w:val="00890AE9"/>
    <w:rsid w:val="0089259B"/>
    <w:rsid w:val="00896CDC"/>
    <w:rsid w:val="0089770B"/>
    <w:rsid w:val="008A0844"/>
    <w:rsid w:val="008A14E9"/>
    <w:rsid w:val="008A2E00"/>
    <w:rsid w:val="008A3BAE"/>
    <w:rsid w:val="008A60FC"/>
    <w:rsid w:val="008A7049"/>
    <w:rsid w:val="008B1DC9"/>
    <w:rsid w:val="008B53C7"/>
    <w:rsid w:val="008B7326"/>
    <w:rsid w:val="008C04C4"/>
    <w:rsid w:val="008C0F96"/>
    <w:rsid w:val="008C32FE"/>
    <w:rsid w:val="008C5025"/>
    <w:rsid w:val="008D03DA"/>
    <w:rsid w:val="008D3A98"/>
    <w:rsid w:val="008E245D"/>
    <w:rsid w:val="008E4669"/>
    <w:rsid w:val="008E65B2"/>
    <w:rsid w:val="008F2C7A"/>
    <w:rsid w:val="008F46E5"/>
    <w:rsid w:val="00902C77"/>
    <w:rsid w:val="0090688B"/>
    <w:rsid w:val="00910265"/>
    <w:rsid w:val="00910A6B"/>
    <w:rsid w:val="0091385F"/>
    <w:rsid w:val="00916FC4"/>
    <w:rsid w:val="0091753E"/>
    <w:rsid w:val="00926E02"/>
    <w:rsid w:val="0093604B"/>
    <w:rsid w:val="00936BD2"/>
    <w:rsid w:val="00942927"/>
    <w:rsid w:val="00943A1A"/>
    <w:rsid w:val="009446E5"/>
    <w:rsid w:val="00944DCF"/>
    <w:rsid w:val="00946C4C"/>
    <w:rsid w:val="009470CD"/>
    <w:rsid w:val="00947144"/>
    <w:rsid w:val="00951FD1"/>
    <w:rsid w:val="0095229A"/>
    <w:rsid w:val="00957866"/>
    <w:rsid w:val="00957EAF"/>
    <w:rsid w:val="00962B9A"/>
    <w:rsid w:val="00971564"/>
    <w:rsid w:val="0097375C"/>
    <w:rsid w:val="009740C1"/>
    <w:rsid w:val="0097488C"/>
    <w:rsid w:val="00974CB2"/>
    <w:rsid w:val="009759C5"/>
    <w:rsid w:val="00982A57"/>
    <w:rsid w:val="009840A7"/>
    <w:rsid w:val="00985EE4"/>
    <w:rsid w:val="009908D8"/>
    <w:rsid w:val="009918B9"/>
    <w:rsid w:val="009930B0"/>
    <w:rsid w:val="00993218"/>
    <w:rsid w:val="009934E3"/>
    <w:rsid w:val="0099530C"/>
    <w:rsid w:val="009A0978"/>
    <w:rsid w:val="009A1E12"/>
    <w:rsid w:val="009A7163"/>
    <w:rsid w:val="009B1E15"/>
    <w:rsid w:val="009B5675"/>
    <w:rsid w:val="009C1BE7"/>
    <w:rsid w:val="009C337E"/>
    <w:rsid w:val="009C3DB0"/>
    <w:rsid w:val="009C4C87"/>
    <w:rsid w:val="009D0E1C"/>
    <w:rsid w:val="009D311B"/>
    <w:rsid w:val="009D4435"/>
    <w:rsid w:val="009E45E5"/>
    <w:rsid w:val="009E520E"/>
    <w:rsid w:val="009E540B"/>
    <w:rsid w:val="009F074F"/>
    <w:rsid w:val="009F100D"/>
    <w:rsid w:val="009F2107"/>
    <w:rsid w:val="009F3678"/>
    <w:rsid w:val="009F6F44"/>
    <w:rsid w:val="009F75CB"/>
    <w:rsid w:val="00A03639"/>
    <w:rsid w:val="00A05383"/>
    <w:rsid w:val="00A072AA"/>
    <w:rsid w:val="00A07777"/>
    <w:rsid w:val="00A107AD"/>
    <w:rsid w:val="00A129FF"/>
    <w:rsid w:val="00A15DA9"/>
    <w:rsid w:val="00A21B66"/>
    <w:rsid w:val="00A22817"/>
    <w:rsid w:val="00A236E8"/>
    <w:rsid w:val="00A242E2"/>
    <w:rsid w:val="00A30DB1"/>
    <w:rsid w:val="00A35FCE"/>
    <w:rsid w:val="00A42839"/>
    <w:rsid w:val="00A438E1"/>
    <w:rsid w:val="00A44699"/>
    <w:rsid w:val="00A47428"/>
    <w:rsid w:val="00A51BB9"/>
    <w:rsid w:val="00A549BD"/>
    <w:rsid w:val="00A554F6"/>
    <w:rsid w:val="00A5668B"/>
    <w:rsid w:val="00A62351"/>
    <w:rsid w:val="00A703DF"/>
    <w:rsid w:val="00A7050D"/>
    <w:rsid w:val="00A72977"/>
    <w:rsid w:val="00A736A0"/>
    <w:rsid w:val="00A75761"/>
    <w:rsid w:val="00A76391"/>
    <w:rsid w:val="00A8004F"/>
    <w:rsid w:val="00A807D0"/>
    <w:rsid w:val="00A8329F"/>
    <w:rsid w:val="00A8549D"/>
    <w:rsid w:val="00A87E78"/>
    <w:rsid w:val="00A91FD7"/>
    <w:rsid w:val="00A93BFF"/>
    <w:rsid w:val="00A95572"/>
    <w:rsid w:val="00A96032"/>
    <w:rsid w:val="00AA0B7E"/>
    <w:rsid w:val="00AA1F25"/>
    <w:rsid w:val="00AA3703"/>
    <w:rsid w:val="00AA633F"/>
    <w:rsid w:val="00AA6CDE"/>
    <w:rsid w:val="00AB0C65"/>
    <w:rsid w:val="00AB6034"/>
    <w:rsid w:val="00AB78C2"/>
    <w:rsid w:val="00AC328B"/>
    <w:rsid w:val="00AC3A8F"/>
    <w:rsid w:val="00AC6654"/>
    <w:rsid w:val="00AD62C9"/>
    <w:rsid w:val="00AD675D"/>
    <w:rsid w:val="00AD6EFF"/>
    <w:rsid w:val="00AE2753"/>
    <w:rsid w:val="00AE3184"/>
    <w:rsid w:val="00AE3298"/>
    <w:rsid w:val="00AE3A0D"/>
    <w:rsid w:val="00AE4AFE"/>
    <w:rsid w:val="00AE5CA1"/>
    <w:rsid w:val="00AE6F57"/>
    <w:rsid w:val="00AE74D8"/>
    <w:rsid w:val="00AF17FE"/>
    <w:rsid w:val="00AF1FB6"/>
    <w:rsid w:val="00AF3058"/>
    <w:rsid w:val="00AF5265"/>
    <w:rsid w:val="00AF5EE3"/>
    <w:rsid w:val="00AF6CE4"/>
    <w:rsid w:val="00AF7D8F"/>
    <w:rsid w:val="00B00E5E"/>
    <w:rsid w:val="00B04BCA"/>
    <w:rsid w:val="00B069D8"/>
    <w:rsid w:val="00B10FE7"/>
    <w:rsid w:val="00B11BB6"/>
    <w:rsid w:val="00B12AB7"/>
    <w:rsid w:val="00B144A1"/>
    <w:rsid w:val="00B20B53"/>
    <w:rsid w:val="00B21996"/>
    <w:rsid w:val="00B220A3"/>
    <w:rsid w:val="00B226C8"/>
    <w:rsid w:val="00B2692B"/>
    <w:rsid w:val="00B30231"/>
    <w:rsid w:val="00B32724"/>
    <w:rsid w:val="00B356B6"/>
    <w:rsid w:val="00B3704F"/>
    <w:rsid w:val="00B37413"/>
    <w:rsid w:val="00B40FC8"/>
    <w:rsid w:val="00B451B6"/>
    <w:rsid w:val="00B451BA"/>
    <w:rsid w:val="00B52F7E"/>
    <w:rsid w:val="00B545B7"/>
    <w:rsid w:val="00B56388"/>
    <w:rsid w:val="00B614F9"/>
    <w:rsid w:val="00B615A1"/>
    <w:rsid w:val="00B61616"/>
    <w:rsid w:val="00B65473"/>
    <w:rsid w:val="00B71FCC"/>
    <w:rsid w:val="00B738F6"/>
    <w:rsid w:val="00B76526"/>
    <w:rsid w:val="00B8133E"/>
    <w:rsid w:val="00B82B15"/>
    <w:rsid w:val="00B8300F"/>
    <w:rsid w:val="00B92DA1"/>
    <w:rsid w:val="00B9429F"/>
    <w:rsid w:val="00BA06C6"/>
    <w:rsid w:val="00BA0F00"/>
    <w:rsid w:val="00BA17CB"/>
    <w:rsid w:val="00BA1DBC"/>
    <w:rsid w:val="00BA206E"/>
    <w:rsid w:val="00BA4013"/>
    <w:rsid w:val="00BA4836"/>
    <w:rsid w:val="00BA51FC"/>
    <w:rsid w:val="00BA5775"/>
    <w:rsid w:val="00BB361C"/>
    <w:rsid w:val="00BB596B"/>
    <w:rsid w:val="00BB6063"/>
    <w:rsid w:val="00BB6DF6"/>
    <w:rsid w:val="00BB73B2"/>
    <w:rsid w:val="00BC08EA"/>
    <w:rsid w:val="00BC41EA"/>
    <w:rsid w:val="00BC7B39"/>
    <w:rsid w:val="00BD11DE"/>
    <w:rsid w:val="00BD270C"/>
    <w:rsid w:val="00BD6B2F"/>
    <w:rsid w:val="00BE692D"/>
    <w:rsid w:val="00BF2574"/>
    <w:rsid w:val="00BF2667"/>
    <w:rsid w:val="00BF2BFC"/>
    <w:rsid w:val="00BF2D20"/>
    <w:rsid w:val="00BF2F81"/>
    <w:rsid w:val="00BF39BE"/>
    <w:rsid w:val="00BF615A"/>
    <w:rsid w:val="00BF64FF"/>
    <w:rsid w:val="00C0394F"/>
    <w:rsid w:val="00C065C3"/>
    <w:rsid w:val="00C101AE"/>
    <w:rsid w:val="00C11346"/>
    <w:rsid w:val="00C11F86"/>
    <w:rsid w:val="00C15F4B"/>
    <w:rsid w:val="00C170D6"/>
    <w:rsid w:val="00C26C8D"/>
    <w:rsid w:val="00C31DD3"/>
    <w:rsid w:val="00C45012"/>
    <w:rsid w:val="00C54755"/>
    <w:rsid w:val="00C57605"/>
    <w:rsid w:val="00C65B2C"/>
    <w:rsid w:val="00C70AD6"/>
    <w:rsid w:val="00C73E30"/>
    <w:rsid w:val="00C74201"/>
    <w:rsid w:val="00C75108"/>
    <w:rsid w:val="00C75FAF"/>
    <w:rsid w:val="00C765E5"/>
    <w:rsid w:val="00C80811"/>
    <w:rsid w:val="00C8316C"/>
    <w:rsid w:val="00C926E8"/>
    <w:rsid w:val="00C92B01"/>
    <w:rsid w:val="00C96FE7"/>
    <w:rsid w:val="00CB185C"/>
    <w:rsid w:val="00CB2C49"/>
    <w:rsid w:val="00CC6016"/>
    <w:rsid w:val="00CC6777"/>
    <w:rsid w:val="00CE3753"/>
    <w:rsid w:val="00CE5C98"/>
    <w:rsid w:val="00CF4288"/>
    <w:rsid w:val="00CF5F66"/>
    <w:rsid w:val="00CF6407"/>
    <w:rsid w:val="00D04063"/>
    <w:rsid w:val="00D04ECC"/>
    <w:rsid w:val="00D1159C"/>
    <w:rsid w:val="00D127B3"/>
    <w:rsid w:val="00D149C7"/>
    <w:rsid w:val="00D21920"/>
    <w:rsid w:val="00D232D1"/>
    <w:rsid w:val="00D24CD5"/>
    <w:rsid w:val="00D25360"/>
    <w:rsid w:val="00D269D1"/>
    <w:rsid w:val="00D2766A"/>
    <w:rsid w:val="00D27BDB"/>
    <w:rsid w:val="00D312B6"/>
    <w:rsid w:val="00D314BE"/>
    <w:rsid w:val="00D33C9A"/>
    <w:rsid w:val="00D33D88"/>
    <w:rsid w:val="00D35253"/>
    <w:rsid w:val="00D41ECD"/>
    <w:rsid w:val="00D44A56"/>
    <w:rsid w:val="00D455E8"/>
    <w:rsid w:val="00D459DF"/>
    <w:rsid w:val="00D46AC2"/>
    <w:rsid w:val="00D47930"/>
    <w:rsid w:val="00D569EB"/>
    <w:rsid w:val="00D63CDD"/>
    <w:rsid w:val="00D63F14"/>
    <w:rsid w:val="00D64755"/>
    <w:rsid w:val="00D6735E"/>
    <w:rsid w:val="00D67FB0"/>
    <w:rsid w:val="00D71373"/>
    <w:rsid w:val="00D7306E"/>
    <w:rsid w:val="00D7442E"/>
    <w:rsid w:val="00D76360"/>
    <w:rsid w:val="00D80CC5"/>
    <w:rsid w:val="00D8114D"/>
    <w:rsid w:val="00D8684F"/>
    <w:rsid w:val="00D87533"/>
    <w:rsid w:val="00D90505"/>
    <w:rsid w:val="00D92F22"/>
    <w:rsid w:val="00D95B56"/>
    <w:rsid w:val="00DA3067"/>
    <w:rsid w:val="00DA6949"/>
    <w:rsid w:val="00DB13A7"/>
    <w:rsid w:val="00DB1C32"/>
    <w:rsid w:val="00DC022D"/>
    <w:rsid w:val="00DC2376"/>
    <w:rsid w:val="00DC23A5"/>
    <w:rsid w:val="00DC5019"/>
    <w:rsid w:val="00DD1910"/>
    <w:rsid w:val="00DE2568"/>
    <w:rsid w:val="00DE2EA9"/>
    <w:rsid w:val="00DE4ACB"/>
    <w:rsid w:val="00DE5B2B"/>
    <w:rsid w:val="00DE60F9"/>
    <w:rsid w:val="00DE72F6"/>
    <w:rsid w:val="00DF1DFE"/>
    <w:rsid w:val="00DF3707"/>
    <w:rsid w:val="00DF4F0B"/>
    <w:rsid w:val="00DF67EB"/>
    <w:rsid w:val="00DF7AA6"/>
    <w:rsid w:val="00E00D93"/>
    <w:rsid w:val="00E02608"/>
    <w:rsid w:val="00E02749"/>
    <w:rsid w:val="00E11672"/>
    <w:rsid w:val="00E1314C"/>
    <w:rsid w:val="00E1322D"/>
    <w:rsid w:val="00E1638D"/>
    <w:rsid w:val="00E1644B"/>
    <w:rsid w:val="00E2081C"/>
    <w:rsid w:val="00E31B72"/>
    <w:rsid w:val="00E3247B"/>
    <w:rsid w:val="00E32672"/>
    <w:rsid w:val="00E33404"/>
    <w:rsid w:val="00E37D62"/>
    <w:rsid w:val="00E4211E"/>
    <w:rsid w:val="00E42A69"/>
    <w:rsid w:val="00E44048"/>
    <w:rsid w:val="00E50887"/>
    <w:rsid w:val="00E518F8"/>
    <w:rsid w:val="00E56CF8"/>
    <w:rsid w:val="00E57276"/>
    <w:rsid w:val="00E62157"/>
    <w:rsid w:val="00E7094F"/>
    <w:rsid w:val="00E74996"/>
    <w:rsid w:val="00E75E61"/>
    <w:rsid w:val="00E7791D"/>
    <w:rsid w:val="00E814D0"/>
    <w:rsid w:val="00E81806"/>
    <w:rsid w:val="00E84707"/>
    <w:rsid w:val="00E861F4"/>
    <w:rsid w:val="00E86721"/>
    <w:rsid w:val="00E8794E"/>
    <w:rsid w:val="00E915A6"/>
    <w:rsid w:val="00E919F2"/>
    <w:rsid w:val="00EA0317"/>
    <w:rsid w:val="00EA421C"/>
    <w:rsid w:val="00EA4574"/>
    <w:rsid w:val="00EA6A7B"/>
    <w:rsid w:val="00EA7D9D"/>
    <w:rsid w:val="00EB5F8A"/>
    <w:rsid w:val="00EC03BE"/>
    <w:rsid w:val="00EC10EA"/>
    <w:rsid w:val="00EC57D6"/>
    <w:rsid w:val="00EC7207"/>
    <w:rsid w:val="00EC7394"/>
    <w:rsid w:val="00EC7F28"/>
    <w:rsid w:val="00ED158E"/>
    <w:rsid w:val="00ED4168"/>
    <w:rsid w:val="00ED5889"/>
    <w:rsid w:val="00EE0806"/>
    <w:rsid w:val="00EE4CF6"/>
    <w:rsid w:val="00EE6669"/>
    <w:rsid w:val="00EE6D25"/>
    <w:rsid w:val="00EE7E6E"/>
    <w:rsid w:val="00EF1EC5"/>
    <w:rsid w:val="00EF299D"/>
    <w:rsid w:val="00EF5B77"/>
    <w:rsid w:val="00EF5D58"/>
    <w:rsid w:val="00EF672E"/>
    <w:rsid w:val="00F04564"/>
    <w:rsid w:val="00F05302"/>
    <w:rsid w:val="00F06812"/>
    <w:rsid w:val="00F071DA"/>
    <w:rsid w:val="00F12BD0"/>
    <w:rsid w:val="00F212CA"/>
    <w:rsid w:val="00F21549"/>
    <w:rsid w:val="00F22F14"/>
    <w:rsid w:val="00F24029"/>
    <w:rsid w:val="00F24273"/>
    <w:rsid w:val="00F304EF"/>
    <w:rsid w:val="00F31CA1"/>
    <w:rsid w:val="00F326CE"/>
    <w:rsid w:val="00F32C57"/>
    <w:rsid w:val="00F35718"/>
    <w:rsid w:val="00F409C1"/>
    <w:rsid w:val="00F41187"/>
    <w:rsid w:val="00F41E1A"/>
    <w:rsid w:val="00F43D0E"/>
    <w:rsid w:val="00F43F6C"/>
    <w:rsid w:val="00F45E68"/>
    <w:rsid w:val="00F47B15"/>
    <w:rsid w:val="00F545EF"/>
    <w:rsid w:val="00F549BE"/>
    <w:rsid w:val="00F55E33"/>
    <w:rsid w:val="00F567E2"/>
    <w:rsid w:val="00F60147"/>
    <w:rsid w:val="00F65156"/>
    <w:rsid w:val="00F66E1B"/>
    <w:rsid w:val="00F66FE5"/>
    <w:rsid w:val="00F70A74"/>
    <w:rsid w:val="00F7118E"/>
    <w:rsid w:val="00F75751"/>
    <w:rsid w:val="00F759C1"/>
    <w:rsid w:val="00F8294E"/>
    <w:rsid w:val="00F8388D"/>
    <w:rsid w:val="00F91FE1"/>
    <w:rsid w:val="00F930F6"/>
    <w:rsid w:val="00F931DB"/>
    <w:rsid w:val="00FA45E3"/>
    <w:rsid w:val="00FA4C4B"/>
    <w:rsid w:val="00FA7397"/>
    <w:rsid w:val="00FB24ED"/>
    <w:rsid w:val="00FB2DCD"/>
    <w:rsid w:val="00FB5533"/>
    <w:rsid w:val="00FB6F03"/>
    <w:rsid w:val="00FC12D6"/>
    <w:rsid w:val="00FC2954"/>
    <w:rsid w:val="00FC42A6"/>
    <w:rsid w:val="00FC4E13"/>
    <w:rsid w:val="00FC639A"/>
    <w:rsid w:val="00FD01CA"/>
    <w:rsid w:val="00FD1641"/>
    <w:rsid w:val="00FD3751"/>
    <w:rsid w:val="00FD51D8"/>
    <w:rsid w:val="00FD6B74"/>
    <w:rsid w:val="00FE12B1"/>
    <w:rsid w:val="00FE625D"/>
    <w:rsid w:val="00FE7254"/>
    <w:rsid w:val="00FF0BCD"/>
    <w:rsid w:val="00FF187C"/>
    <w:rsid w:val="00FF4415"/>
    <w:rsid w:val="00FF5CF4"/>
    <w:rsid w:val="0161D57A"/>
    <w:rsid w:val="0187B876"/>
    <w:rsid w:val="0242521C"/>
    <w:rsid w:val="035D91B3"/>
    <w:rsid w:val="036EAB16"/>
    <w:rsid w:val="03E5D857"/>
    <w:rsid w:val="0411597F"/>
    <w:rsid w:val="05175898"/>
    <w:rsid w:val="06A0D8CF"/>
    <w:rsid w:val="0879C2C3"/>
    <w:rsid w:val="0A22FA7C"/>
    <w:rsid w:val="0B8BA41C"/>
    <w:rsid w:val="0C2FAB6C"/>
    <w:rsid w:val="0CA2C3CC"/>
    <w:rsid w:val="0DBC376B"/>
    <w:rsid w:val="0ECFDBEA"/>
    <w:rsid w:val="0F2DFF10"/>
    <w:rsid w:val="104BF435"/>
    <w:rsid w:val="12C59ED2"/>
    <w:rsid w:val="14D773A8"/>
    <w:rsid w:val="161A47A2"/>
    <w:rsid w:val="16D7EF1A"/>
    <w:rsid w:val="1A6010B3"/>
    <w:rsid w:val="1EAB80BA"/>
    <w:rsid w:val="1F7749D5"/>
    <w:rsid w:val="1F8EE846"/>
    <w:rsid w:val="20B5DC81"/>
    <w:rsid w:val="20FFA904"/>
    <w:rsid w:val="21F19F53"/>
    <w:rsid w:val="25AD6274"/>
    <w:rsid w:val="269637BF"/>
    <w:rsid w:val="2718FE7D"/>
    <w:rsid w:val="29418CB0"/>
    <w:rsid w:val="295213D4"/>
    <w:rsid w:val="2C239232"/>
    <w:rsid w:val="2C9C4664"/>
    <w:rsid w:val="2CBA2D16"/>
    <w:rsid w:val="2CE1AD55"/>
    <w:rsid w:val="2D6C1016"/>
    <w:rsid w:val="2EDD5153"/>
    <w:rsid w:val="2FE10101"/>
    <w:rsid w:val="302CF70A"/>
    <w:rsid w:val="312594C6"/>
    <w:rsid w:val="316DABEB"/>
    <w:rsid w:val="323F8139"/>
    <w:rsid w:val="3250E8AC"/>
    <w:rsid w:val="357D5926"/>
    <w:rsid w:val="35ED4FA4"/>
    <w:rsid w:val="36A91F9E"/>
    <w:rsid w:val="37357142"/>
    <w:rsid w:val="378A9F6A"/>
    <w:rsid w:val="3922BE47"/>
    <w:rsid w:val="3937B379"/>
    <w:rsid w:val="39D0784F"/>
    <w:rsid w:val="3B3F86CB"/>
    <w:rsid w:val="3B4DCA80"/>
    <w:rsid w:val="3BB8CE85"/>
    <w:rsid w:val="3C773F3A"/>
    <w:rsid w:val="3E75F6D3"/>
    <w:rsid w:val="3EF8B526"/>
    <w:rsid w:val="3F164357"/>
    <w:rsid w:val="3FF4CF64"/>
    <w:rsid w:val="40744006"/>
    <w:rsid w:val="411F72FE"/>
    <w:rsid w:val="411F74E2"/>
    <w:rsid w:val="414C2577"/>
    <w:rsid w:val="42F9848C"/>
    <w:rsid w:val="42F98632"/>
    <w:rsid w:val="43D1A6BA"/>
    <w:rsid w:val="4419D94E"/>
    <w:rsid w:val="4482A7C8"/>
    <w:rsid w:val="46B97D34"/>
    <w:rsid w:val="47E1DCDE"/>
    <w:rsid w:val="47EE5EC8"/>
    <w:rsid w:val="481F72C6"/>
    <w:rsid w:val="48FD4927"/>
    <w:rsid w:val="4904A5F1"/>
    <w:rsid w:val="49F83CA4"/>
    <w:rsid w:val="4A5B5AB9"/>
    <w:rsid w:val="4B7CDE3D"/>
    <w:rsid w:val="4BD44F24"/>
    <w:rsid w:val="4C85C691"/>
    <w:rsid w:val="4D493203"/>
    <w:rsid w:val="4EA37C92"/>
    <w:rsid w:val="4EB6BA3F"/>
    <w:rsid w:val="5112C08A"/>
    <w:rsid w:val="512B9E57"/>
    <w:rsid w:val="513F19C9"/>
    <w:rsid w:val="53CA7002"/>
    <w:rsid w:val="562B79E7"/>
    <w:rsid w:val="566D5039"/>
    <w:rsid w:val="571BE96C"/>
    <w:rsid w:val="57C914CA"/>
    <w:rsid w:val="5823843A"/>
    <w:rsid w:val="5A136CE7"/>
    <w:rsid w:val="5A3D49DC"/>
    <w:rsid w:val="5A95B96C"/>
    <w:rsid w:val="5AC3467A"/>
    <w:rsid w:val="5B6E5ACE"/>
    <w:rsid w:val="5BEE6921"/>
    <w:rsid w:val="5C6F4CE4"/>
    <w:rsid w:val="5D407D35"/>
    <w:rsid w:val="600C1C4A"/>
    <w:rsid w:val="60224628"/>
    <w:rsid w:val="61085E36"/>
    <w:rsid w:val="62C72026"/>
    <w:rsid w:val="63D1D961"/>
    <w:rsid w:val="649F18FF"/>
    <w:rsid w:val="651FFC22"/>
    <w:rsid w:val="671D19AE"/>
    <w:rsid w:val="68679EEF"/>
    <w:rsid w:val="68F4E630"/>
    <w:rsid w:val="6925969B"/>
    <w:rsid w:val="69C76206"/>
    <w:rsid w:val="69E525D3"/>
    <w:rsid w:val="6A6A88CE"/>
    <w:rsid w:val="6B41F19E"/>
    <w:rsid w:val="6B63BEAE"/>
    <w:rsid w:val="6CC40164"/>
    <w:rsid w:val="6D05E979"/>
    <w:rsid w:val="6E6BAAF4"/>
    <w:rsid w:val="6F51BE89"/>
    <w:rsid w:val="7118C660"/>
    <w:rsid w:val="712D06C0"/>
    <w:rsid w:val="7136474C"/>
    <w:rsid w:val="71980AC5"/>
    <w:rsid w:val="746275F1"/>
    <w:rsid w:val="74C197DE"/>
    <w:rsid w:val="75652413"/>
    <w:rsid w:val="7573E9C2"/>
    <w:rsid w:val="7770123F"/>
    <w:rsid w:val="786D1FB6"/>
    <w:rsid w:val="78BA9E44"/>
    <w:rsid w:val="7C209A51"/>
    <w:rsid w:val="7C5CE89E"/>
    <w:rsid w:val="7DA0C8D2"/>
    <w:rsid w:val="7DC82E2C"/>
    <w:rsid w:val="7E22E588"/>
    <w:rsid w:val="7F11A989"/>
    <w:rsid w:val="7F77A668"/>
    <w:rsid w:val="7F878FE4"/>
    <w:rsid w:val="7FD2A06D"/>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styleId="Nerazreenaomemba">
    <w:name w:val="Unresolved Mention"/>
    <w:basedOn w:val="Privzetapisavaodstavka"/>
    <w:uiPriority w:val="99"/>
    <w:semiHidden/>
    <w:unhideWhenUsed/>
    <w:rsid w:val="003A49D8"/>
    <w:rPr>
      <w:color w:val="605E5C"/>
      <w:shd w:val="clear" w:color="auto" w:fill="E1DFDD"/>
    </w:rPr>
  </w:style>
  <w:style w:type="paragraph" w:customStyle="1" w:styleId="Naslov310">
    <w:name w:val="Naslov 310"/>
    <w:basedOn w:val="Navaden"/>
    <w:qFormat/>
    <w:rsid w:val="00120162"/>
    <w:rPr>
      <w:b/>
    </w:rPr>
  </w:style>
  <w:style w:type="character" w:styleId="Pripombasklic">
    <w:name w:val="annotation reference"/>
    <w:basedOn w:val="Privzetapisavaodstavka"/>
    <w:uiPriority w:val="99"/>
    <w:semiHidden/>
    <w:unhideWhenUsed/>
    <w:rsid w:val="002B67C9"/>
    <w:rPr>
      <w:sz w:val="16"/>
      <w:szCs w:val="16"/>
    </w:rPr>
  </w:style>
  <w:style w:type="paragraph" w:styleId="Pripombabesedilo">
    <w:name w:val="annotation text"/>
    <w:basedOn w:val="Navaden"/>
    <w:link w:val="PripombabesediloZnak"/>
    <w:uiPriority w:val="99"/>
    <w:semiHidden/>
    <w:unhideWhenUsed/>
    <w:rsid w:val="002B67C9"/>
    <w:pPr>
      <w:spacing w:line="240" w:lineRule="auto"/>
    </w:pPr>
    <w:rPr>
      <w:szCs w:val="20"/>
    </w:rPr>
  </w:style>
  <w:style w:type="character" w:customStyle="1" w:styleId="PripombabesediloZnak">
    <w:name w:val="Pripomba – besedilo Znak"/>
    <w:basedOn w:val="Privzetapisavaodstavka"/>
    <w:link w:val="Pripombabesedilo"/>
    <w:uiPriority w:val="99"/>
    <w:semiHidden/>
    <w:rsid w:val="002B67C9"/>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2B67C9"/>
    <w:rPr>
      <w:b/>
      <w:bCs/>
    </w:rPr>
  </w:style>
  <w:style w:type="character" w:customStyle="1" w:styleId="ZadevapripombeZnak">
    <w:name w:val="Zadeva pripombe Znak"/>
    <w:basedOn w:val="PripombabesediloZnak"/>
    <w:link w:val="Zadevapripombe"/>
    <w:uiPriority w:val="99"/>
    <w:semiHidden/>
    <w:rsid w:val="002B67C9"/>
    <w:rPr>
      <w:rFonts w:ascii="Myriad Pro" w:hAnsi="Myriad Pro"/>
      <w:b/>
      <w:bCs/>
      <w:sz w:val="20"/>
      <w:szCs w:val="20"/>
    </w:rPr>
  </w:style>
  <w:style w:type="paragraph" w:styleId="Revizija">
    <w:name w:val="Revision"/>
    <w:hidden/>
    <w:uiPriority w:val="99"/>
    <w:semiHidden/>
    <w:rsid w:val="003D0FA7"/>
    <w:pPr>
      <w:spacing w:after="0" w:line="240" w:lineRule="auto"/>
    </w:pPr>
    <w:rPr>
      <w:rFonts w:ascii="Myriad Pro" w:hAnsi="Myriad Pro"/>
      <w:sz w:val="20"/>
    </w:rPr>
  </w:style>
  <w:style w:type="character" w:styleId="Konnaopomba-sklic">
    <w:name w:val="endnote reference"/>
    <w:basedOn w:val="Privzetapisavaodstavka"/>
    <w:uiPriority w:val="99"/>
    <w:semiHidden/>
    <w:unhideWhenUsed/>
    <w:rsid w:val="000C5DFC"/>
    <w:rPr>
      <w:vertAlign w:val="superscript"/>
    </w:rPr>
  </w:style>
  <w:style w:type="paragraph" w:customStyle="1" w:styleId="Naslov32">
    <w:name w:val="Naslov 32"/>
    <w:basedOn w:val="Navaden"/>
    <w:qFormat/>
    <w:rsid w:val="0078321F"/>
    <w:rPr>
      <w:b/>
    </w:rPr>
  </w:style>
  <w:style w:type="character" w:styleId="Krepko">
    <w:name w:val="Strong"/>
    <w:basedOn w:val="Privzetapisavaodstavka"/>
    <w:uiPriority w:val="22"/>
    <w:qFormat/>
    <w:rsid w:val="00BA0F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6D45B-A61D-4C1F-BC68-A60EF25F0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975</Words>
  <Characters>5558</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2022-12-20T09:08:00Z</dcterms:created>
  <dcterms:modified xsi:type="dcterms:W3CDTF">2022-12-20T09:08:00Z</dcterms:modified>
</cp:coreProperties>
</file>