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834C" w14:textId="77777777" w:rsidR="0050616E" w:rsidRPr="0050616E" w:rsidRDefault="00471713" w:rsidP="0050616E">
      <w:pPr>
        <w:pStyle w:val="Naslov2"/>
        <w:numPr>
          <w:ilvl w:val="0"/>
          <w:numId w:val="0"/>
        </w:numPr>
      </w:pPr>
      <w:bookmarkStart w:id="0" w:name="_Toc168909446"/>
      <w:bookmarkStart w:id="1" w:name="_Toc168909539"/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A233C08" wp14:editId="4B2C6BBF">
            <wp:simplePos x="0" y="0"/>
            <wp:positionH relativeFrom="column">
              <wp:posOffset>-900374</wp:posOffset>
            </wp:positionH>
            <wp:positionV relativeFrom="paragraph">
              <wp:posOffset>-1081405</wp:posOffset>
            </wp:positionV>
            <wp:extent cx="4737100" cy="10815955"/>
            <wp:effectExtent l="0" t="0" r="6350" b="444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081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E37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DE5D864" wp14:editId="0062ED09">
            <wp:simplePos x="0" y="0"/>
            <wp:positionH relativeFrom="column">
              <wp:posOffset>4939343</wp:posOffset>
            </wp:positionH>
            <wp:positionV relativeFrom="paragraph">
              <wp:posOffset>-626110</wp:posOffset>
            </wp:positionV>
            <wp:extent cx="1294227" cy="365859"/>
            <wp:effectExtent l="0" t="0" r="1270" b="0"/>
            <wp:wrapNone/>
            <wp:docPr id="3" name="Picture 3" descr="Logotip U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ip UMA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36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0B5EA8B2" w14:textId="77777777" w:rsidR="0050616E" w:rsidRPr="0050616E" w:rsidRDefault="00D66667" w:rsidP="0050616E">
      <w:pPr>
        <w:tabs>
          <w:tab w:val="left" w:pos="7227"/>
        </w:tabs>
        <w:sectPr w:rsidR="0050616E" w:rsidRPr="0050616E" w:rsidSect="007C3A38">
          <w:footerReference w:type="default" r:id="rId10"/>
          <w:pgSz w:w="11906" w:h="16838"/>
          <w:pgMar w:top="1701" w:right="1418" w:bottom="1418" w:left="1418" w:header="709" w:footer="709" w:gutter="0"/>
          <w:pgNumType w:fmt="lowerRoman" w:start="1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9A3051F" wp14:editId="2ECCB978">
                <wp:simplePos x="0" y="0"/>
                <wp:positionH relativeFrom="column">
                  <wp:posOffset>2566101</wp:posOffset>
                </wp:positionH>
                <wp:positionV relativeFrom="paragraph">
                  <wp:posOffset>560155</wp:posOffset>
                </wp:positionV>
                <wp:extent cx="3810114" cy="8066405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114" cy="806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6CE3F" w14:textId="77777777" w:rsidR="00EB5B30" w:rsidRPr="0050616E" w:rsidRDefault="00EB5B30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</w:p>
                          <w:p w14:paraId="00B32932" w14:textId="77777777" w:rsidR="00EB5B30" w:rsidRPr="0050616E" w:rsidRDefault="00EB5B30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</w:p>
                          <w:p w14:paraId="744022A0" w14:textId="77777777" w:rsidR="00EB5B30" w:rsidRPr="0050616E" w:rsidRDefault="00EB5B30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bookmarkStart w:id="2" w:name="_Toc168909447"/>
                            <w:bookmarkStart w:id="3" w:name="_Toc168909540"/>
                            <w:r w:rsidRPr="0050616E">
                              <w:rPr>
                                <w:color w:val="auto"/>
                                <w:sz w:val="26"/>
                                <w:szCs w:val="26"/>
                              </w:rPr>
                              <w:t>Kratke analize</w:t>
                            </w:r>
                            <w:bookmarkEnd w:id="2"/>
                            <w:bookmarkEnd w:id="3"/>
                          </w:p>
                          <w:p w14:paraId="5B7D4E8F" w14:textId="5E2EB46B" w:rsidR="00EB5B30" w:rsidRPr="0050616E" w:rsidRDefault="00EB5B30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bookmarkStart w:id="4" w:name="_Toc168909448"/>
                            <w:bookmarkStart w:id="5" w:name="_Toc168909541"/>
                            <w:r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  <w:t>Junij 202</w:t>
                            </w:r>
                            <w:r w:rsidR="00E24CE8"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  <w:t>4</w:t>
                            </w:r>
                            <w:bookmarkEnd w:id="4"/>
                            <w:bookmarkEnd w:id="5"/>
                          </w:p>
                          <w:p w14:paraId="713BA1AF" w14:textId="77777777" w:rsidR="00EB5B30" w:rsidRPr="0050616E" w:rsidRDefault="00EB5B30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  <w:p w14:paraId="17B69955" w14:textId="49C2ED24" w:rsidR="00EB5B30" w:rsidRPr="0050616E" w:rsidRDefault="00EB5B30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after="240" w:line="760" w:lineRule="exact"/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</w:pPr>
                            <w:bookmarkStart w:id="6" w:name="_Toc168909449"/>
                            <w:bookmarkStart w:id="7" w:name="_Toc168909542"/>
                            <w:r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  <w:t>Jure Povšnar</w:t>
                            </w:r>
                            <w:bookmarkEnd w:id="6"/>
                            <w:bookmarkEnd w:id="7"/>
                          </w:p>
                          <w:p w14:paraId="532514F0" w14:textId="7AC9A2DE" w:rsidR="00EB5B30" w:rsidRPr="0050616E" w:rsidRDefault="00EB5B30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  <w:bookmarkStart w:id="8" w:name="_Toc168909450"/>
                            <w:bookmarkStart w:id="9" w:name="_Toc168909543"/>
                            <w:r>
                              <w:rPr>
                                <w:color w:val="auto"/>
                                <w:sz w:val="76"/>
                                <w:szCs w:val="76"/>
                              </w:rPr>
                              <w:t>Poslovanje gospodarskih družb prometa in skladiščenja do leta 202</w:t>
                            </w:r>
                            <w:r w:rsidR="00E24CE8">
                              <w:rPr>
                                <w:color w:val="auto"/>
                                <w:sz w:val="76"/>
                                <w:szCs w:val="76"/>
                              </w:rPr>
                              <w:t>3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vert270" wrap="square" lIns="0" tIns="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0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05pt;margin-top:44.1pt;width:300pt;height:635.1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" filled="f" stroked="f" strokeweight=".5pt">
                <v:textbox style="layout-flow:vertical;mso-layout-flow-alt:bottom-to-top" inset="0,0,.5mm,0">
                  <w:txbxContent>
                    <w:p w14:paraId="39D6CE3F" w14:textId="77777777" w:rsidR="00EB5B30" w:rsidRPr="0050616E" w:rsidRDefault="00EB5B30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</w:p>
                    <w:p w14:paraId="00B32932" w14:textId="77777777" w:rsidR="00EB5B30" w:rsidRPr="0050616E" w:rsidRDefault="00EB5B30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</w:p>
                    <w:p w14:paraId="744022A0" w14:textId="77777777" w:rsidR="00EB5B30" w:rsidRPr="0050616E" w:rsidRDefault="00EB5B30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color w:val="auto"/>
                          <w:sz w:val="26"/>
                          <w:szCs w:val="26"/>
                        </w:rPr>
                      </w:pPr>
                      <w:bookmarkStart w:id="10" w:name="_Toc168909447"/>
                      <w:bookmarkStart w:id="11" w:name="_Toc168909540"/>
                      <w:r w:rsidRPr="0050616E">
                        <w:rPr>
                          <w:color w:val="auto"/>
                          <w:sz w:val="26"/>
                          <w:szCs w:val="26"/>
                        </w:rPr>
                        <w:t>Kratke analize</w:t>
                      </w:r>
                      <w:bookmarkEnd w:id="10"/>
                      <w:bookmarkEnd w:id="11"/>
                    </w:p>
                    <w:p w14:paraId="5B7D4E8F" w14:textId="5E2EB46B" w:rsidR="00EB5B30" w:rsidRPr="0050616E" w:rsidRDefault="00EB5B30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</w:pPr>
                      <w:bookmarkStart w:id="12" w:name="_Toc168909448"/>
                      <w:bookmarkStart w:id="13" w:name="_Toc168909541"/>
                      <w:r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  <w:t>Junij 202</w:t>
                      </w:r>
                      <w:r w:rsidR="00E24CE8"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  <w:t>4</w:t>
                      </w:r>
                      <w:bookmarkEnd w:id="12"/>
                      <w:bookmarkEnd w:id="13"/>
                    </w:p>
                    <w:p w14:paraId="713BA1AF" w14:textId="77777777" w:rsidR="00EB5B30" w:rsidRPr="0050616E" w:rsidRDefault="00EB5B30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52"/>
                          <w:szCs w:val="52"/>
                        </w:rPr>
                      </w:pPr>
                    </w:p>
                    <w:p w14:paraId="17B69955" w14:textId="49C2ED24" w:rsidR="00EB5B30" w:rsidRPr="0050616E" w:rsidRDefault="00EB5B30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after="240" w:line="760" w:lineRule="exact"/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</w:pPr>
                      <w:bookmarkStart w:id="14" w:name="_Toc168909449"/>
                      <w:bookmarkStart w:id="15" w:name="_Toc168909542"/>
                      <w:r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  <w:t>Jure Povšnar</w:t>
                      </w:r>
                      <w:bookmarkEnd w:id="14"/>
                      <w:bookmarkEnd w:id="15"/>
                    </w:p>
                    <w:p w14:paraId="532514F0" w14:textId="7AC9A2DE" w:rsidR="00EB5B30" w:rsidRPr="0050616E" w:rsidRDefault="00EB5B30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  <w:bookmarkStart w:id="16" w:name="_Toc168909450"/>
                      <w:bookmarkStart w:id="17" w:name="_Toc168909543"/>
                      <w:r>
                        <w:rPr>
                          <w:color w:val="auto"/>
                          <w:sz w:val="76"/>
                          <w:szCs w:val="76"/>
                        </w:rPr>
                        <w:t>Poslovanje gospodarskih družb prometa in skladiščenja do leta 202</w:t>
                      </w:r>
                      <w:r w:rsidR="00E24CE8">
                        <w:rPr>
                          <w:color w:val="auto"/>
                          <w:sz w:val="76"/>
                          <w:szCs w:val="76"/>
                        </w:rPr>
                        <w:t>3</w:t>
                      </w:r>
                      <w:bookmarkEnd w:id="16"/>
                      <w:bookmarkEnd w:id="17"/>
                    </w:p>
                  </w:txbxContent>
                </v:textbox>
              </v:shape>
            </w:pict>
          </mc:Fallback>
        </mc:AlternateContent>
      </w:r>
      <w:r w:rsidR="0050616E">
        <w:tab/>
      </w:r>
    </w:p>
    <w:p w14:paraId="1D4D1BD7" w14:textId="77777777" w:rsidR="00E913F1" w:rsidRPr="00B4724E" w:rsidRDefault="00E913F1" w:rsidP="00E913F1">
      <w:pPr>
        <w:pStyle w:val="BesediloUMAR"/>
        <w:rPr>
          <w:sz w:val="18"/>
          <w:szCs w:val="18"/>
        </w:rPr>
      </w:pPr>
      <w:bookmarkStart w:id="18" w:name="_Toc525304171"/>
      <w:bookmarkStart w:id="19" w:name="_Toc527616894"/>
      <w:bookmarkStart w:id="20" w:name="_Toc528328881"/>
      <w:r w:rsidRPr="00B4724E">
        <w:rPr>
          <w:sz w:val="18"/>
          <w:szCs w:val="18"/>
        </w:rPr>
        <w:lastRenderedPageBreak/>
        <w:t xml:space="preserve">Kratke analize </w:t>
      </w:r>
    </w:p>
    <w:p w14:paraId="037D7E13" w14:textId="77777777" w:rsidR="00E913F1" w:rsidRPr="00E913F1" w:rsidRDefault="00E913F1" w:rsidP="00E913F1">
      <w:pPr>
        <w:pStyle w:val="BesediloUMAR"/>
        <w:rPr>
          <w:b/>
          <w:bCs/>
          <w:szCs w:val="20"/>
        </w:rPr>
      </w:pPr>
      <w:r w:rsidRPr="00E913F1">
        <w:rPr>
          <w:b/>
          <w:bCs/>
          <w:szCs w:val="20"/>
        </w:rPr>
        <w:t>Poslovanje gospodarskih družb prometa in skladiščenja do leta 2023</w:t>
      </w:r>
    </w:p>
    <w:p w14:paraId="3C5EEECE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20FC2C34" w14:textId="77777777" w:rsidR="00E913F1" w:rsidRDefault="00E913F1" w:rsidP="00E913F1">
      <w:pPr>
        <w:pStyle w:val="BesediloUMAR"/>
        <w:rPr>
          <w:sz w:val="18"/>
          <w:szCs w:val="18"/>
        </w:rPr>
      </w:pPr>
      <w:r w:rsidRPr="009D2ECE">
        <w:rPr>
          <w:b/>
          <w:bCs/>
          <w:sz w:val="18"/>
          <w:szCs w:val="18"/>
        </w:rPr>
        <w:t>Izdajatelj:</w:t>
      </w:r>
      <w:r w:rsidRPr="00D61A4F">
        <w:rPr>
          <w:sz w:val="18"/>
          <w:szCs w:val="18"/>
        </w:rPr>
        <w:t xml:space="preserve"> </w:t>
      </w:r>
    </w:p>
    <w:p w14:paraId="053898CB" w14:textId="77777777" w:rsidR="00E913F1" w:rsidRDefault="00E913F1" w:rsidP="00E913F1">
      <w:pPr>
        <w:pStyle w:val="BesediloUMAR"/>
        <w:rPr>
          <w:sz w:val="18"/>
          <w:szCs w:val="18"/>
        </w:rPr>
      </w:pPr>
      <w:r w:rsidRPr="00C664EE">
        <w:rPr>
          <w:sz w:val="18"/>
          <w:szCs w:val="18"/>
        </w:rPr>
        <w:t>U</w:t>
      </w:r>
      <w:r>
        <w:rPr>
          <w:sz w:val="18"/>
          <w:szCs w:val="18"/>
        </w:rPr>
        <w:t>rad RS za makroekonomske analize in razvoj</w:t>
      </w:r>
    </w:p>
    <w:p w14:paraId="674A4550" w14:textId="77777777" w:rsidR="00E913F1" w:rsidRDefault="00E913F1" w:rsidP="00E913F1">
      <w:pPr>
        <w:pStyle w:val="BesediloUMAR"/>
        <w:rPr>
          <w:sz w:val="18"/>
          <w:szCs w:val="18"/>
        </w:rPr>
      </w:pPr>
      <w:r w:rsidRPr="00C664EE">
        <w:rPr>
          <w:sz w:val="18"/>
          <w:szCs w:val="18"/>
        </w:rPr>
        <w:t xml:space="preserve">Gregorčičeva 27 </w:t>
      </w:r>
    </w:p>
    <w:p w14:paraId="2751F64A" w14:textId="77777777" w:rsidR="00E913F1" w:rsidRPr="00C664EE" w:rsidRDefault="00E913F1" w:rsidP="00E913F1">
      <w:pPr>
        <w:pStyle w:val="BesediloUMAR"/>
        <w:rPr>
          <w:sz w:val="18"/>
          <w:szCs w:val="18"/>
        </w:rPr>
      </w:pPr>
      <w:r>
        <w:rPr>
          <w:sz w:val="18"/>
          <w:szCs w:val="18"/>
        </w:rPr>
        <w:t>1000 Ljubljana</w:t>
      </w:r>
    </w:p>
    <w:p w14:paraId="0E6241C3" w14:textId="77777777" w:rsidR="00E913F1" w:rsidRDefault="00E913F1" w:rsidP="00E913F1">
      <w:pPr>
        <w:pStyle w:val="BesediloUMAR"/>
        <w:rPr>
          <w:b/>
          <w:bCs/>
          <w:sz w:val="18"/>
          <w:szCs w:val="18"/>
        </w:rPr>
      </w:pPr>
    </w:p>
    <w:p w14:paraId="6A819740" w14:textId="136A2CCC" w:rsidR="00E913F1" w:rsidRPr="00E913F1" w:rsidRDefault="00E913F1" w:rsidP="00E913F1">
      <w:pPr>
        <w:pStyle w:val="BesediloUMAR"/>
        <w:rPr>
          <w:bCs/>
          <w:sz w:val="18"/>
          <w:szCs w:val="18"/>
        </w:rPr>
      </w:pPr>
      <w:r w:rsidRPr="009D2ECE">
        <w:rPr>
          <w:b/>
          <w:bCs/>
          <w:sz w:val="18"/>
          <w:szCs w:val="18"/>
        </w:rPr>
        <w:t>Avtor:</w:t>
      </w:r>
      <w:r>
        <w:rPr>
          <w:sz w:val="18"/>
          <w:szCs w:val="18"/>
        </w:rPr>
        <w:t xml:space="preserve"> </w:t>
      </w:r>
      <w:r w:rsidRPr="00E913F1">
        <w:rPr>
          <w:bCs/>
          <w:sz w:val="18"/>
          <w:szCs w:val="18"/>
        </w:rPr>
        <w:t>Jure Povšnar</w:t>
      </w:r>
    </w:p>
    <w:p w14:paraId="0894620C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3F821A23" w14:textId="77777777" w:rsidR="00E913F1" w:rsidRPr="00D61A4F" w:rsidRDefault="00E913F1" w:rsidP="00E913F1">
      <w:pPr>
        <w:pStyle w:val="BesediloUMAR"/>
        <w:rPr>
          <w:sz w:val="18"/>
          <w:szCs w:val="18"/>
        </w:rPr>
      </w:pPr>
      <w:r w:rsidRPr="009D2ECE">
        <w:rPr>
          <w:b/>
          <w:bCs/>
          <w:sz w:val="18"/>
          <w:szCs w:val="18"/>
        </w:rPr>
        <w:t>Tehnično urejanje:</w:t>
      </w:r>
      <w:r w:rsidRPr="00D61A4F">
        <w:rPr>
          <w:sz w:val="18"/>
          <w:szCs w:val="18"/>
        </w:rPr>
        <w:t xml:space="preserve"> Mojca Bizjak </w:t>
      </w:r>
    </w:p>
    <w:p w14:paraId="7D3177E5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6DD17B75" w14:textId="22CF1E8E" w:rsidR="00E913F1" w:rsidRPr="00D61A4F" w:rsidRDefault="00E913F1" w:rsidP="00E913F1">
      <w:pPr>
        <w:pStyle w:val="BesediloUMAR"/>
        <w:rPr>
          <w:sz w:val="18"/>
          <w:szCs w:val="18"/>
        </w:rPr>
      </w:pPr>
      <w:r w:rsidRPr="00D61A4F">
        <w:rPr>
          <w:sz w:val="18"/>
          <w:szCs w:val="18"/>
        </w:rPr>
        <w:t>Ljubljana</w:t>
      </w:r>
      <w:r w:rsidRPr="00E913F1">
        <w:rPr>
          <w:sz w:val="18"/>
          <w:szCs w:val="18"/>
        </w:rPr>
        <w:t xml:space="preserve">, </w:t>
      </w:r>
      <w:r w:rsidRPr="00E913F1">
        <w:rPr>
          <w:sz w:val="18"/>
          <w:szCs w:val="18"/>
        </w:rPr>
        <w:fldChar w:fldCharType="begin"/>
      </w:r>
      <w:r w:rsidRPr="00E913F1">
        <w:rPr>
          <w:sz w:val="18"/>
          <w:szCs w:val="18"/>
        </w:rPr>
        <w:instrText xml:space="preserve"> DATE  \@ "MMMM YYYY"  \* MERGEFORMAT </w:instrText>
      </w:r>
      <w:r w:rsidRPr="00E913F1">
        <w:rPr>
          <w:sz w:val="18"/>
          <w:szCs w:val="18"/>
        </w:rPr>
        <w:fldChar w:fldCharType="separate"/>
      </w:r>
      <w:r w:rsidR="009B66AC">
        <w:rPr>
          <w:noProof/>
          <w:sz w:val="18"/>
          <w:szCs w:val="18"/>
        </w:rPr>
        <w:t>junij 2024</w:t>
      </w:r>
      <w:r w:rsidRPr="00E913F1">
        <w:rPr>
          <w:sz w:val="18"/>
          <w:szCs w:val="18"/>
        </w:rPr>
        <w:fldChar w:fldCharType="end"/>
      </w:r>
    </w:p>
    <w:p w14:paraId="187A2DAB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2236BDD5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291D5D83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669928DA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1CC1313A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3A8A457A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65983721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1B87D6B7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4544E945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7FB5DE25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7F1828B9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5CDF4800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7CDA1F82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56F7B390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77B08688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4A260CD6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30C74A48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68796C25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1536A5EE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6C8850CF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4490FBA0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09120EA8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14C8FB3B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7D5AC2BF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1DEE220F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5668DD14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674DB172" w14:textId="77777777" w:rsidR="00E913F1" w:rsidRPr="00D61A4F" w:rsidRDefault="00E913F1" w:rsidP="00E913F1">
      <w:pPr>
        <w:pStyle w:val="BesediloUMAR"/>
        <w:rPr>
          <w:sz w:val="18"/>
          <w:szCs w:val="18"/>
        </w:rPr>
      </w:pPr>
    </w:p>
    <w:p w14:paraId="6F6204AB" w14:textId="77777777" w:rsidR="00E913F1" w:rsidRDefault="00E913F1" w:rsidP="00E913F1">
      <w:pPr>
        <w:pStyle w:val="BesediloUMAR"/>
        <w:rPr>
          <w:sz w:val="18"/>
          <w:szCs w:val="18"/>
        </w:rPr>
      </w:pPr>
      <w:proofErr w:type="spellStart"/>
      <w:r>
        <w:rPr>
          <w:sz w:val="18"/>
          <w:szCs w:val="18"/>
        </w:rPr>
        <w:t>Kataložni</w:t>
      </w:r>
      <w:proofErr w:type="spellEnd"/>
      <w:r>
        <w:rPr>
          <w:sz w:val="18"/>
          <w:szCs w:val="18"/>
        </w:rPr>
        <w:t xml:space="preserve"> zapis o publikaciji (CIP) pripravili v Narodni in univerzitetni knjižnici v Ljubljani</w:t>
      </w:r>
    </w:p>
    <w:p w14:paraId="1EFC817D" w14:textId="77777777" w:rsidR="00331B72" w:rsidRPr="00331B72" w:rsidRDefault="00331B72" w:rsidP="00331B72">
      <w:pPr>
        <w:pStyle w:val="BesediloUMAR"/>
        <w:rPr>
          <w:sz w:val="18"/>
          <w:szCs w:val="24"/>
        </w:rPr>
      </w:pPr>
      <w:r w:rsidRPr="00331B72">
        <w:rPr>
          <w:sz w:val="18"/>
          <w:szCs w:val="24"/>
        </w:rPr>
        <w:t>COBISS.SI-ID 198398211</w:t>
      </w:r>
    </w:p>
    <w:p w14:paraId="64CC13F9" w14:textId="58006D4E" w:rsidR="00E913F1" w:rsidRDefault="00331B72" w:rsidP="00331B72">
      <w:pPr>
        <w:pStyle w:val="BesediloUMAR"/>
        <w:rPr>
          <w:sz w:val="18"/>
          <w:szCs w:val="24"/>
        </w:rPr>
      </w:pPr>
      <w:r w:rsidRPr="00331B72">
        <w:rPr>
          <w:sz w:val="18"/>
          <w:szCs w:val="24"/>
        </w:rPr>
        <w:t>ISBN 978-961-6839-51-8 (PDF)</w:t>
      </w:r>
    </w:p>
    <w:p w14:paraId="52203457" w14:textId="77777777" w:rsidR="00331B72" w:rsidRDefault="00331B72" w:rsidP="00331B72">
      <w:pPr>
        <w:pStyle w:val="BesediloUMAR"/>
        <w:rPr>
          <w:sz w:val="18"/>
          <w:szCs w:val="24"/>
        </w:rPr>
      </w:pPr>
    </w:p>
    <w:p w14:paraId="04271D71" w14:textId="3B22476F" w:rsidR="00E913F1" w:rsidRDefault="00E913F1" w:rsidP="00E913F1">
      <w:pPr>
        <w:pStyle w:val="BesediloUMAR"/>
        <w:rPr>
          <w:sz w:val="18"/>
          <w:szCs w:val="24"/>
        </w:rPr>
      </w:pPr>
      <w:r w:rsidRPr="00FB0CF2">
        <w:rPr>
          <w:sz w:val="18"/>
          <w:szCs w:val="24"/>
        </w:rPr>
        <w:t xml:space="preserve">Spletna lokacija publikacije: </w:t>
      </w:r>
      <w:r w:rsidR="009B66AC" w:rsidRPr="009B66AC">
        <w:rPr>
          <w:sz w:val="18"/>
          <w:szCs w:val="24"/>
        </w:rPr>
        <w:t>https://umar.gov.si/publikacije/kratke-analize/publikacija/poslovanje-gospodarskih-druzb-prometa-in-skladiscenja-do-leta-2023</w:t>
      </w:r>
    </w:p>
    <w:p w14:paraId="6BA118CB" w14:textId="77777777" w:rsidR="00E913F1" w:rsidRDefault="00E913F1" w:rsidP="00E913F1">
      <w:pPr>
        <w:pStyle w:val="BesediloUMAR"/>
        <w:rPr>
          <w:sz w:val="18"/>
          <w:szCs w:val="24"/>
        </w:rPr>
      </w:pPr>
    </w:p>
    <w:p w14:paraId="1E410C0C" w14:textId="77777777" w:rsidR="00E913F1" w:rsidRDefault="00E913F1" w:rsidP="00E913F1">
      <w:pPr>
        <w:pStyle w:val="BesediloUMAR"/>
        <w:rPr>
          <w:sz w:val="18"/>
          <w:szCs w:val="24"/>
        </w:rPr>
      </w:pPr>
      <w:r>
        <w:rPr>
          <w:sz w:val="18"/>
          <w:szCs w:val="24"/>
        </w:rPr>
        <w:t xml:space="preserve">Publikacija je brezplačna. </w:t>
      </w:r>
    </w:p>
    <w:p w14:paraId="4077FC34" w14:textId="77777777" w:rsidR="00E913F1" w:rsidRDefault="00E913F1" w:rsidP="00E913F1">
      <w:pPr>
        <w:pStyle w:val="BesediloUMAR"/>
        <w:rPr>
          <w:sz w:val="18"/>
          <w:szCs w:val="24"/>
        </w:rPr>
      </w:pPr>
    </w:p>
    <w:p w14:paraId="56133A8B" w14:textId="77777777" w:rsidR="00E913F1" w:rsidRDefault="00E913F1" w:rsidP="00E913F1">
      <w:pPr>
        <w:pStyle w:val="BesediloUMAR"/>
        <w:rPr>
          <w:sz w:val="18"/>
          <w:szCs w:val="24"/>
        </w:rPr>
      </w:pPr>
      <w:r>
        <w:rPr>
          <w:sz w:val="18"/>
          <w:szCs w:val="24"/>
        </w:rPr>
        <w:t>©2024, Urad RS za makroekonomske analize in razvoj</w:t>
      </w:r>
    </w:p>
    <w:p w14:paraId="3AB9D6AA" w14:textId="77777777" w:rsidR="00E913F1" w:rsidRDefault="00E913F1" w:rsidP="00E913F1">
      <w:pPr>
        <w:pStyle w:val="BesediloUMAR"/>
        <w:rPr>
          <w:sz w:val="18"/>
          <w:szCs w:val="24"/>
        </w:rPr>
      </w:pPr>
      <w:r>
        <w:rPr>
          <w:sz w:val="18"/>
          <w:szCs w:val="24"/>
        </w:rPr>
        <w:t xml:space="preserve">Razmnoževanje publikacije ali njenih delov ni dovoljeno. </w:t>
      </w:r>
    </w:p>
    <w:p w14:paraId="066D0E61" w14:textId="77777777" w:rsidR="00E913F1" w:rsidRDefault="00E913F1" w:rsidP="00E913F1">
      <w:pPr>
        <w:pStyle w:val="BesediloUMAR"/>
        <w:rPr>
          <w:sz w:val="18"/>
          <w:szCs w:val="24"/>
        </w:rPr>
      </w:pPr>
      <w:r>
        <w:rPr>
          <w:sz w:val="18"/>
          <w:szCs w:val="24"/>
        </w:rPr>
        <w:t>Objava besedila in podatkov v celoti ali deloma je dovoljena le z navedbo vira.</w:t>
      </w:r>
    </w:p>
    <w:p w14:paraId="526239B8" w14:textId="77777777" w:rsidR="00E913F1" w:rsidRDefault="00E913F1" w:rsidP="00247147">
      <w:pPr>
        <w:pStyle w:val="Naslov1"/>
        <w:numPr>
          <w:ilvl w:val="0"/>
          <w:numId w:val="0"/>
        </w:numPr>
        <w:sectPr w:rsidR="00E913F1" w:rsidSect="00DA3486">
          <w:headerReference w:type="default" r:id="rId11"/>
          <w:pgSz w:w="11906" w:h="16838"/>
          <w:pgMar w:top="1701" w:right="1418" w:bottom="1418" w:left="1418" w:header="567" w:footer="1134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  <w:id w:val="11297411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CECF93" w14:textId="77777777" w:rsidR="00610F1A" w:rsidRDefault="00616671" w:rsidP="00616671">
          <w:pPr>
            <w:pStyle w:val="NaslovTOC"/>
            <w:rPr>
              <w:noProof/>
            </w:rPr>
          </w:pPr>
          <w:proofErr w:type="spellStart"/>
          <w:r w:rsidRPr="00C021F4">
            <w:rPr>
              <w:b/>
              <w:bCs/>
              <w:sz w:val="28"/>
              <w:szCs w:val="28"/>
            </w:rPr>
            <w:t>Vsebina</w:t>
          </w:r>
          <w:proofErr w:type="spellEnd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58E33BA" w14:textId="77777777" w:rsidR="00C021F4" w:rsidRDefault="00C021F4" w:rsidP="00C021F4">
          <w:pPr>
            <w:pStyle w:val="BesediloUMAR"/>
            <w:rPr>
              <w:b/>
              <w:bCs/>
            </w:rPr>
          </w:pPr>
        </w:p>
        <w:p w14:paraId="0842FFED" w14:textId="6CADF541" w:rsidR="00610F1A" w:rsidRDefault="00C021F4" w:rsidP="00610F1A">
          <w:pPr>
            <w:pStyle w:val="Kazalovsebine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sl-SI"/>
              <w14:ligatures w14:val="standardContextual"/>
            </w:rPr>
          </w:pPr>
          <w:r>
            <w:tab/>
          </w:r>
          <w:hyperlink w:anchor="_Toc168909544" w:history="1">
            <w:r w:rsidR="00610F1A" w:rsidRPr="005620F7">
              <w:rPr>
                <w:rStyle w:val="Hiperpovezava"/>
              </w:rPr>
              <w:t>Povzetek</w:t>
            </w:r>
            <w:r w:rsidR="00610F1A">
              <w:rPr>
                <w:webHidden/>
              </w:rPr>
              <w:tab/>
            </w:r>
            <w:r w:rsidR="00610F1A">
              <w:rPr>
                <w:webHidden/>
              </w:rPr>
              <w:fldChar w:fldCharType="begin"/>
            </w:r>
            <w:r w:rsidR="00610F1A">
              <w:rPr>
                <w:webHidden/>
              </w:rPr>
              <w:instrText xml:space="preserve"> PAGEREF _Toc168909544 \h </w:instrText>
            </w:r>
            <w:r w:rsidR="00610F1A">
              <w:rPr>
                <w:webHidden/>
              </w:rPr>
            </w:r>
            <w:r w:rsidR="00610F1A">
              <w:rPr>
                <w:webHidden/>
              </w:rPr>
              <w:fldChar w:fldCharType="separate"/>
            </w:r>
            <w:r w:rsidR="006A5733">
              <w:rPr>
                <w:webHidden/>
              </w:rPr>
              <w:t>1</w:t>
            </w:r>
            <w:r w:rsidR="00610F1A">
              <w:rPr>
                <w:webHidden/>
              </w:rPr>
              <w:fldChar w:fldCharType="end"/>
            </w:r>
          </w:hyperlink>
        </w:p>
        <w:p w14:paraId="0D60D927" w14:textId="09A89E20" w:rsidR="00610F1A" w:rsidRDefault="009B66AC" w:rsidP="00610F1A">
          <w:pPr>
            <w:pStyle w:val="Kazalovsebine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8909545" w:history="1">
            <w:r w:rsidR="00610F1A" w:rsidRPr="005620F7">
              <w:rPr>
                <w:rStyle w:val="Hiperpovezava"/>
              </w:rPr>
              <w:t>1</w:t>
            </w:r>
            <w:r w:rsidR="00610F1A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="00610F1A" w:rsidRPr="005620F7">
              <w:rPr>
                <w:rStyle w:val="Hiperpovezava"/>
              </w:rPr>
              <w:t>Uvod</w:t>
            </w:r>
            <w:r w:rsidR="00610F1A">
              <w:rPr>
                <w:webHidden/>
              </w:rPr>
              <w:tab/>
            </w:r>
            <w:r w:rsidR="00610F1A">
              <w:rPr>
                <w:webHidden/>
              </w:rPr>
              <w:fldChar w:fldCharType="begin"/>
            </w:r>
            <w:r w:rsidR="00610F1A">
              <w:rPr>
                <w:webHidden/>
              </w:rPr>
              <w:instrText xml:space="preserve"> PAGEREF _Toc168909545 \h </w:instrText>
            </w:r>
            <w:r w:rsidR="00610F1A">
              <w:rPr>
                <w:webHidden/>
              </w:rPr>
            </w:r>
            <w:r w:rsidR="00610F1A">
              <w:rPr>
                <w:webHidden/>
              </w:rPr>
              <w:fldChar w:fldCharType="separate"/>
            </w:r>
            <w:r w:rsidR="006A5733">
              <w:rPr>
                <w:webHidden/>
              </w:rPr>
              <w:t>2</w:t>
            </w:r>
            <w:r w:rsidR="00610F1A">
              <w:rPr>
                <w:webHidden/>
              </w:rPr>
              <w:fldChar w:fldCharType="end"/>
            </w:r>
          </w:hyperlink>
        </w:p>
        <w:p w14:paraId="57776D88" w14:textId="0077A3C8" w:rsidR="00610F1A" w:rsidRDefault="009B66AC" w:rsidP="00610F1A">
          <w:pPr>
            <w:pStyle w:val="Kazalovsebine1"/>
            <w:rPr>
              <w:rFonts w:asciiTheme="minorHAnsi" w:eastAsiaTheme="minorEastAsia" w:hAnsiTheme="minorHAnsi"/>
              <w:kern w:val="2"/>
              <w:sz w:val="22"/>
              <w:lang w:eastAsia="sl-SI"/>
              <w14:ligatures w14:val="standardContextual"/>
            </w:rPr>
          </w:pPr>
          <w:hyperlink w:anchor="_Toc168909546" w:history="1">
            <w:r w:rsidR="00610F1A" w:rsidRPr="005620F7">
              <w:rPr>
                <w:rStyle w:val="Hiperpovezava"/>
              </w:rPr>
              <w:t>2</w:t>
            </w:r>
            <w:r w:rsidR="00610F1A">
              <w:rPr>
                <w:rFonts w:asciiTheme="minorHAnsi" w:eastAsiaTheme="minorEastAsia" w:hAnsiTheme="minorHAnsi"/>
                <w:kern w:val="2"/>
                <w:sz w:val="22"/>
                <w:lang w:eastAsia="sl-SI"/>
                <w14:ligatures w14:val="standardContextual"/>
              </w:rPr>
              <w:tab/>
            </w:r>
            <w:r w:rsidR="00610F1A" w:rsidRPr="005620F7">
              <w:rPr>
                <w:rStyle w:val="Hiperpovezava"/>
              </w:rPr>
              <w:t>Poslovanje gospodarskih družb prometa in skladiščenja</w:t>
            </w:r>
            <w:r w:rsidR="00610F1A">
              <w:rPr>
                <w:webHidden/>
              </w:rPr>
              <w:tab/>
            </w:r>
            <w:r w:rsidR="00610F1A">
              <w:rPr>
                <w:webHidden/>
              </w:rPr>
              <w:fldChar w:fldCharType="begin"/>
            </w:r>
            <w:r w:rsidR="00610F1A">
              <w:rPr>
                <w:webHidden/>
              </w:rPr>
              <w:instrText xml:space="preserve"> PAGEREF _Toc168909546 \h </w:instrText>
            </w:r>
            <w:r w:rsidR="00610F1A">
              <w:rPr>
                <w:webHidden/>
              </w:rPr>
            </w:r>
            <w:r w:rsidR="00610F1A">
              <w:rPr>
                <w:webHidden/>
              </w:rPr>
              <w:fldChar w:fldCharType="separate"/>
            </w:r>
            <w:r w:rsidR="006A5733">
              <w:rPr>
                <w:webHidden/>
              </w:rPr>
              <w:t>3</w:t>
            </w:r>
            <w:r w:rsidR="00610F1A">
              <w:rPr>
                <w:webHidden/>
              </w:rPr>
              <w:fldChar w:fldCharType="end"/>
            </w:r>
          </w:hyperlink>
        </w:p>
        <w:p w14:paraId="1BB1D55F" w14:textId="1C3E0E17" w:rsidR="00610F1A" w:rsidRDefault="009B66AC" w:rsidP="00610F1A">
          <w:pPr>
            <w:pStyle w:val="Kazalovsebine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8909547" w:history="1">
            <w:r w:rsidR="00610F1A" w:rsidRPr="005620F7">
              <w:rPr>
                <w:rStyle w:val="Hiperpovezava"/>
              </w:rPr>
              <w:t>3</w:t>
            </w:r>
            <w:r w:rsidR="00610F1A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="00610F1A" w:rsidRPr="005620F7">
              <w:rPr>
                <w:rStyle w:val="Hiperpovezava"/>
              </w:rPr>
              <w:t>Zaključek</w:t>
            </w:r>
            <w:r w:rsidR="00610F1A">
              <w:rPr>
                <w:webHidden/>
              </w:rPr>
              <w:tab/>
            </w:r>
            <w:r w:rsidR="00610F1A">
              <w:rPr>
                <w:webHidden/>
              </w:rPr>
              <w:fldChar w:fldCharType="begin"/>
            </w:r>
            <w:r w:rsidR="00610F1A">
              <w:rPr>
                <w:webHidden/>
              </w:rPr>
              <w:instrText xml:space="preserve"> PAGEREF _Toc168909547 \h </w:instrText>
            </w:r>
            <w:r w:rsidR="00610F1A">
              <w:rPr>
                <w:webHidden/>
              </w:rPr>
            </w:r>
            <w:r w:rsidR="00610F1A">
              <w:rPr>
                <w:webHidden/>
              </w:rPr>
              <w:fldChar w:fldCharType="separate"/>
            </w:r>
            <w:r w:rsidR="006A5733">
              <w:rPr>
                <w:webHidden/>
              </w:rPr>
              <w:t>13</w:t>
            </w:r>
            <w:r w:rsidR="00610F1A">
              <w:rPr>
                <w:webHidden/>
              </w:rPr>
              <w:fldChar w:fldCharType="end"/>
            </w:r>
          </w:hyperlink>
        </w:p>
        <w:p w14:paraId="1053649F" w14:textId="4561D2EF" w:rsidR="00610F1A" w:rsidRDefault="009B66AC" w:rsidP="00610F1A">
          <w:pPr>
            <w:pStyle w:val="Kazalovsebine3"/>
            <w:ind w:left="340"/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68909548" w:history="1">
            <w:r w:rsidR="00610F1A" w:rsidRPr="005620F7">
              <w:rPr>
                <w:rStyle w:val="Hiperpovezava"/>
                <w:noProof/>
              </w:rPr>
              <w:t>Literatura in viri</w:t>
            </w:r>
            <w:r w:rsidR="00610F1A">
              <w:rPr>
                <w:noProof/>
                <w:webHidden/>
              </w:rPr>
              <w:tab/>
            </w:r>
            <w:r w:rsidR="00610F1A">
              <w:rPr>
                <w:noProof/>
                <w:webHidden/>
              </w:rPr>
              <w:fldChar w:fldCharType="begin"/>
            </w:r>
            <w:r w:rsidR="00610F1A">
              <w:rPr>
                <w:noProof/>
                <w:webHidden/>
              </w:rPr>
              <w:instrText xml:space="preserve"> PAGEREF _Toc168909548 \h </w:instrText>
            </w:r>
            <w:r w:rsidR="00610F1A">
              <w:rPr>
                <w:noProof/>
                <w:webHidden/>
              </w:rPr>
            </w:r>
            <w:r w:rsidR="00610F1A">
              <w:rPr>
                <w:noProof/>
                <w:webHidden/>
              </w:rPr>
              <w:fldChar w:fldCharType="separate"/>
            </w:r>
            <w:r w:rsidR="006A5733">
              <w:rPr>
                <w:noProof/>
                <w:webHidden/>
              </w:rPr>
              <w:t>14</w:t>
            </w:r>
            <w:r w:rsidR="00610F1A">
              <w:rPr>
                <w:noProof/>
                <w:webHidden/>
              </w:rPr>
              <w:fldChar w:fldCharType="end"/>
            </w:r>
          </w:hyperlink>
        </w:p>
        <w:p w14:paraId="6A47E9B2" w14:textId="146AE505" w:rsidR="00610F1A" w:rsidRDefault="009B66AC" w:rsidP="00610F1A">
          <w:pPr>
            <w:pStyle w:val="Kazalovsebine3"/>
            <w:ind w:left="340"/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68909549" w:history="1">
            <w:r w:rsidR="00610F1A" w:rsidRPr="005620F7">
              <w:rPr>
                <w:rStyle w:val="Hiperpovezava"/>
                <w:noProof/>
              </w:rPr>
              <w:t>Priloga: Opredelitev kazalnikov, uporabljenih v analizi poslovanja gospodarskih družb</w:t>
            </w:r>
            <w:r w:rsidR="00610F1A">
              <w:rPr>
                <w:noProof/>
                <w:webHidden/>
              </w:rPr>
              <w:tab/>
            </w:r>
            <w:r w:rsidR="00610F1A">
              <w:rPr>
                <w:noProof/>
                <w:webHidden/>
              </w:rPr>
              <w:fldChar w:fldCharType="begin"/>
            </w:r>
            <w:r w:rsidR="00610F1A">
              <w:rPr>
                <w:noProof/>
                <w:webHidden/>
              </w:rPr>
              <w:instrText xml:space="preserve"> PAGEREF _Toc168909549 \h </w:instrText>
            </w:r>
            <w:r w:rsidR="00610F1A">
              <w:rPr>
                <w:noProof/>
                <w:webHidden/>
              </w:rPr>
            </w:r>
            <w:r w:rsidR="00610F1A">
              <w:rPr>
                <w:noProof/>
                <w:webHidden/>
              </w:rPr>
              <w:fldChar w:fldCharType="separate"/>
            </w:r>
            <w:r w:rsidR="006A5733">
              <w:rPr>
                <w:noProof/>
                <w:webHidden/>
              </w:rPr>
              <w:t>15</w:t>
            </w:r>
            <w:r w:rsidR="00610F1A">
              <w:rPr>
                <w:noProof/>
                <w:webHidden/>
              </w:rPr>
              <w:fldChar w:fldCharType="end"/>
            </w:r>
          </w:hyperlink>
        </w:p>
        <w:p w14:paraId="11EDAB90" w14:textId="18445BC4" w:rsidR="00616671" w:rsidRDefault="00616671">
          <w:r>
            <w:rPr>
              <w:b/>
              <w:bCs/>
            </w:rPr>
            <w:fldChar w:fldCharType="end"/>
          </w:r>
        </w:p>
      </w:sdtContent>
    </w:sdt>
    <w:p w14:paraId="0E28A8A4" w14:textId="77777777" w:rsidR="00616671" w:rsidRDefault="00616671" w:rsidP="00616671">
      <w:pPr>
        <w:pStyle w:val="BesediloUMAR"/>
      </w:pPr>
    </w:p>
    <w:p w14:paraId="7C4DE447" w14:textId="77777777" w:rsidR="00616671" w:rsidRDefault="00616671" w:rsidP="00616671">
      <w:pPr>
        <w:pStyle w:val="BesediloUMAR"/>
      </w:pPr>
    </w:p>
    <w:p w14:paraId="18E50024" w14:textId="77777777" w:rsidR="00616671" w:rsidRPr="00616671" w:rsidRDefault="00616671" w:rsidP="00616671">
      <w:pPr>
        <w:pStyle w:val="BesediloUMAR"/>
        <w:sectPr w:rsidR="00616671" w:rsidRPr="00616671" w:rsidSect="00DA3486">
          <w:headerReference w:type="default" r:id="rId12"/>
          <w:pgSz w:w="11906" w:h="16838"/>
          <w:pgMar w:top="1701" w:right="1418" w:bottom="1418" w:left="1418" w:header="567" w:footer="1134" w:gutter="0"/>
          <w:pgNumType w:start="1"/>
          <w:cols w:space="708"/>
          <w:docGrid w:linePitch="360"/>
        </w:sectPr>
      </w:pPr>
    </w:p>
    <w:p w14:paraId="497A5CFA" w14:textId="77777777" w:rsidR="00471713" w:rsidRDefault="00471713" w:rsidP="00247147">
      <w:pPr>
        <w:pStyle w:val="Naslov1"/>
        <w:numPr>
          <w:ilvl w:val="0"/>
          <w:numId w:val="0"/>
        </w:numPr>
        <w:rPr>
          <w:rStyle w:val="VodilnistavekUMAR"/>
        </w:rPr>
      </w:pPr>
      <w:bookmarkStart w:id="21" w:name="_Toc168909544"/>
      <w:r w:rsidRPr="00471713">
        <w:lastRenderedPageBreak/>
        <w:t>Povzetek</w:t>
      </w:r>
      <w:bookmarkEnd w:id="21"/>
    </w:p>
    <w:p w14:paraId="764DB204" w14:textId="77777777" w:rsidR="003E627F" w:rsidRDefault="003E627F" w:rsidP="003F33CD">
      <w:pPr>
        <w:pStyle w:val="BesediloUMAR"/>
        <w:rPr>
          <w:b/>
          <w:bCs/>
        </w:rPr>
      </w:pPr>
    </w:p>
    <w:p w14:paraId="111BDD47" w14:textId="3F9629A1" w:rsidR="0011504B" w:rsidRPr="00247147" w:rsidRDefault="00F47D4D" w:rsidP="00247147">
      <w:pPr>
        <w:pStyle w:val="BesediloUMAR"/>
        <w:rPr>
          <w:rStyle w:val="BoldpoudarekUMAR"/>
        </w:rPr>
      </w:pPr>
      <w:r>
        <w:rPr>
          <w:rStyle w:val="DZVodilnistavekChar"/>
          <w:noProof/>
        </w:rPr>
        <w:t>G</w:t>
      </w:r>
      <w:r w:rsidRPr="008137B9">
        <w:rPr>
          <w:rStyle w:val="DZVodilnistavekChar"/>
          <w:noProof/>
        </w:rPr>
        <w:t>ospodarsk</w:t>
      </w:r>
      <w:r w:rsidR="00BA74BE">
        <w:rPr>
          <w:rStyle w:val="DZVodilnistavekChar"/>
          <w:noProof/>
        </w:rPr>
        <w:t>e</w:t>
      </w:r>
      <w:r w:rsidRPr="008137B9">
        <w:rPr>
          <w:rStyle w:val="DZVodilnistavekChar"/>
          <w:noProof/>
        </w:rPr>
        <w:t xml:space="preserve"> družb</w:t>
      </w:r>
      <w:r w:rsidR="00BA74BE">
        <w:rPr>
          <w:rStyle w:val="DZVodilnistavekChar"/>
          <w:noProof/>
        </w:rPr>
        <w:t>e</w:t>
      </w:r>
      <w:r w:rsidRPr="008137B9">
        <w:rPr>
          <w:rStyle w:val="DZVodilnistavekChar"/>
          <w:noProof/>
        </w:rPr>
        <w:t xml:space="preserve"> promet</w:t>
      </w:r>
      <w:r w:rsidR="00BA74BE">
        <w:rPr>
          <w:rStyle w:val="DZVodilnistavekChar"/>
          <w:noProof/>
        </w:rPr>
        <w:t>a</w:t>
      </w:r>
      <w:r w:rsidRPr="008137B9">
        <w:rPr>
          <w:rStyle w:val="DZVodilnistavekChar"/>
          <w:noProof/>
        </w:rPr>
        <w:t xml:space="preserve"> in skladiščenj</w:t>
      </w:r>
      <w:r w:rsidR="00BA74BE">
        <w:rPr>
          <w:rStyle w:val="DZVodilnistavekChar"/>
          <w:noProof/>
        </w:rPr>
        <w:t>a</w:t>
      </w:r>
      <w:r w:rsidRPr="008137B9">
        <w:rPr>
          <w:rStyle w:val="DZVodilnistavekChar"/>
          <w:noProof/>
        </w:rPr>
        <w:t xml:space="preserve"> </w:t>
      </w:r>
      <w:r w:rsidR="00A90EF5" w:rsidRPr="00A90EF5">
        <w:rPr>
          <w:rStyle w:val="DZVodilnistavekChar"/>
          <w:noProof/>
        </w:rPr>
        <w:t>(dejavnost H)</w:t>
      </w:r>
      <w:r w:rsidR="00A90EF5" w:rsidRPr="00A90EF5">
        <w:rPr>
          <w:rStyle w:val="DZVodilnistavekChar"/>
          <w:b w:val="0"/>
        </w:rPr>
        <w:t xml:space="preserve"> </w:t>
      </w:r>
      <w:r>
        <w:rPr>
          <w:rStyle w:val="DZVodilnistavekChar"/>
          <w:noProof/>
        </w:rPr>
        <w:t xml:space="preserve">so </w:t>
      </w:r>
      <w:r w:rsidR="000660F6">
        <w:rPr>
          <w:rStyle w:val="DZVodilnistavekChar"/>
          <w:noProof/>
        </w:rPr>
        <w:t xml:space="preserve">v letih </w:t>
      </w:r>
      <w:r w:rsidR="00222317">
        <w:rPr>
          <w:rStyle w:val="DZVodilnistavekChar"/>
          <w:noProof/>
        </w:rPr>
        <w:t>pred epidemijo covida-19</w:t>
      </w:r>
      <w:r>
        <w:rPr>
          <w:rStyle w:val="DZVodilnistavekChar"/>
          <w:noProof/>
        </w:rPr>
        <w:t xml:space="preserve"> </w:t>
      </w:r>
      <w:r w:rsidRPr="00F47D4D">
        <w:rPr>
          <w:rStyle w:val="DZBesediloChar"/>
          <w:b/>
          <w:bCs/>
          <w:noProof/>
        </w:rPr>
        <w:t xml:space="preserve">dosegale </w:t>
      </w:r>
      <w:r w:rsidR="00E62093">
        <w:rPr>
          <w:rStyle w:val="DZBesediloChar"/>
          <w:b/>
          <w:bCs/>
          <w:noProof/>
        </w:rPr>
        <w:t>velik</w:t>
      </w:r>
      <w:r>
        <w:rPr>
          <w:rStyle w:val="DZBesediloChar"/>
          <w:b/>
          <w:bCs/>
          <w:noProof/>
        </w:rPr>
        <w:t xml:space="preserve"> </w:t>
      </w:r>
      <w:r w:rsidRPr="00F47D4D">
        <w:rPr>
          <w:rStyle w:val="DZBesediloChar"/>
          <w:b/>
          <w:bCs/>
          <w:noProof/>
        </w:rPr>
        <w:t>neto čist</w:t>
      </w:r>
      <w:r>
        <w:rPr>
          <w:rStyle w:val="DZBesediloChar"/>
          <w:b/>
          <w:bCs/>
          <w:noProof/>
        </w:rPr>
        <w:t>i</w:t>
      </w:r>
      <w:r w:rsidRPr="00F47D4D">
        <w:rPr>
          <w:rStyle w:val="DZBesediloChar"/>
          <w:b/>
          <w:bCs/>
          <w:noProof/>
        </w:rPr>
        <w:t xml:space="preserve"> dobič</w:t>
      </w:r>
      <w:r>
        <w:rPr>
          <w:rStyle w:val="DZBesediloChar"/>
          <w:b/>
          <w:bCs/>
          <w:noProof/>
        </w:rPr>
        <w:t>e</w:t>
      </w:r>
      <w:r w:rsidRPr="00F47D4D">
        <w:rPr>
          <w:rStyle w:val="DZBesediloChar"/>
          <w:b/>
          <w:bCs/>
          <w:noProof/>
        </w:rPr>
        <w:t xml:space="preserve">k, </w:t>
      </w:r>
      <w:r w:rsidR="002A4356">
        <w:rPr>
          <w:rStyle w:val="DZBesediloChar"/>
          <w:b/>
          <w:bCs/>
          <w:noProof/>
        </w:rPr>
        <w:t xml:space="preserve">ki pa se je </w:t>
      </w:r>
      <w:r w:rsidRPr="00F47D4D">
        <w:rPr>
          <w:rStyle w:val="DZBesediloChar"/>
          <w:b/>
          <w:bCs/>
          <w:noProof/>
        </w:rPr>
        <w:t xml:space="preserve">ob zajezitvenih ukrepih ob epidemiji v letu 2020 </w:t>
      </w:r>
      <w:r w:rsidR="002A4356">
        <w:rPr>
          <w:rStyle w:val="DZBesediloChar"/>
          <w:b/>
          <w:bCs/>
          <w:noProof/>
        </w:rPr>
        <w:t>prepolovil.</w:t>
      </w:r>
      <w:r w:rsidRPr="00F47D4D">
        <w:rPr>
          <w:rStyle w:val="DZBesediloChar"/>
          <w:b/>
          <w:bCs/>
          <w:noProof/>
        </w:rPr>
        <w:t xml:space="preserve"> </w:t>
      </w:r>
      <w:r w:rsidR="0069047A">
        <w:rPr>
          <w:rStyle w:val="DZBesediloChar"/>
          <w:b/>
          <w:bCs/>
          <w:noProof/>
        </w:rPr>
        <w:t>O</w:t>
      </w:r>
      <w:r w:rsidR="002A4356">
        <w:rPr>
          <w:rStyle w:val="DZBesediloChar"/>
          <w:b/>
          <w:bCs/>
          <w:noProof/>
        </w:rPr>
        <w:t>mejeno</w:t>
      </w:r>
      <w:r w:rsidRPr="00F47D4D">
        <w:rPr>
          <w:rStyle w:val="DZBesediloChar"/>
          <w:b/>
          <w:bCs/>
          <w:noProof/>
        </w:rPr>
        <w:t xml:space="preserve"> </w:t>
      </w:r>
      <w:r w:rsidR="0069047A">
        <w:rPr>
          <w:rStyle w:val="DZBesediloChar"/>
          <w:b/>
          <w:bCs/>
          <w:noProof/>
        </w:rPr>
        <w:t xml:space="preserve">je bilo </w:t>
      </w:r>
      <w:r w:rsidRPr="00F47D4D">
        <w:rPr>
          <w:rStyle w:val="DZBesediloChar"/>
          <w:b/>
          <w:bCs/>
          <w:noProof/>
        </w:rPr>
        <w:t>poslovanje mnogih prometnih dejavnosti, še posebej javn</w:t>
      </w:r>
      <w:r w:rsidR="00222317">
        <w:rPr>
          <w:rStyle w:val="DZBesediloChar"/>
          <w:b/>
          <w:bCs/>
          <w:noProof/>
        </w:rPr>
        <w:t>ega</w:t>
      </w:r>
      <w:r w:rsidRPr="00F47D4D">
        <w:rPr>
          <w:rStyle w:val="DZBesediloChar"/>
          <w:b/>
          <w:bCs/>
          <w:noProof/>
        </w:rPr>
        <w:t xml:space="preserve"> avtobusn</w:t>
      </w:r>
      <w:r w:rsidR="00222317">
        <w:rPr>
          <w:rStyle w:val="DZBesediloChar"/>
          <w:b/>
          <w:bCs/>
          <w:noProof/>
        </w:rPr>
        <w:t>ega</w:t>
      </w:r>
      <w:r w:rsidRPr="00F47D4D">
        <w:rPr>
          <w:rStyle w:val="DZBesediloChar"/>
          <w:b/>
          <w:bCs/>
          <w:noProof/>
        </w:rPr>
        <w:t>, železnišk</w:t>
      </w:r>
      <w:r w:rsidR="00222317">
        <w:rPr>
          <w:rStyle w:val="DZBesediloChar"/>
          <w:b/>
          <w:bCs/>
          <w:noProof/>
        </w:rPr>
        <w:t>ega</w:t>
      </w:r>
      <w:r w:rsidRPr="00F47D4D">
        <w:rPr>
          <w:rStyle w:val="DZBesediloChar"/>
          <w:b/>
          <w:bCs/>
          <w:noProof/>
        </w:rPr>
        <w:t xml:space="preserve"> </w:t>
      </w:r>
      <w:r w:rsidR="005F3E4D">
        <w:rPr>
          <w:rStyle w:val="DZBesediloChar"/>
          <w:b/>
          <w:bCs/>
          <w:noProof/>
        </w:rPr>
        <w:t>in</w:t>
      </w:r>
      <w:r w:rsidRPr="00F47D4D">
        <w:rPr>
          <w:rStyle w:val="DZBesediloChar"/>
          <w:b/>
          <w:bCs/>
          <w:noProof/>
        </w:rPr>
        <w:t xml:space="preserve"> letališk</w:t>
      </w:r>
      <w:r w:rsidR="00222317">
        <w:rPr>
          <w:rStyle w:val="DZBesediloChar"/>
          <w:b/>
          <w:bCs/>
          <w:noProof/>
        </w:rPr>
        <w:t>ega</w:t>
      </w:r>
      <w:r w:rsidRPr="00F47D4D">
        <w:rPr>
          <w:rStyle w:val="DZBesediloChar"/>
          <w:b/>
          <w:bCs/>
          <w:noProof/>
        </w:rPr>
        <w:t xml:space="preserve"> potnišk</w:t>
      </w:r>
      <w:r w:rsidR="00222317">
        <w:rPr>
          <w:rStyle w:val="DZBesediloChar"/>
          <w:b/>
          <w:bCs/>
          <w:noProof/>
        </w:rPr>
        <w:t>ega</w:t>
      </w:r>
      <w:r w:rsidRPr="00F47D4D">
        <w:rPr>
          <w:rStyle w:val="DZBesediloChar"/>
          <w:b/>
          <w:bCs/>
          <w:noProof/>
        </w:rPr>
        <w:t xml:space="preserve"> promet</w:t>
      </w:r>
      <w:r w:rsidR="00222317">
        <w:rPr>
          <w:rStyle w:val="DZBesediloChar"/>
          <w:b/>
          <w:bCs/>
          <w:noProof/>
        </w:rPr>
        <w:t>a</w:t>
      </w:r>
      <w:r w:rsidRPr="00F47D4D">
        <w:rPr>
          <w:rStyle w:val="DZBesediloChar"/>
          <w:b/>
          <w:bCs/>
          <w:noProof/>
        </w:rPr>
        <w:t>. Ker so</w:t>
      </w:r>
      <w:r w:rsidR="00C268D8">
        <w:rPr>
          <w:rStyle w:val="DZBesediloChar"/>
          <w:b/>
          <w:bCs/>
          <w:noProof/>
        </w:rPr>
        <w:t xml:space="preserve"> številne</w:t>
      </w:r>
      <w:r w:rsidRPr="00F47D4D">
        <w:rPr>
          <w:rStyle w:val="DZBesediloChar"/>
          <w:b/>
          <w:bCs/>
          <w:noProof/>
        </w:rPr>
        <w:t xml:space="preserve"> omejitve </w:t>
      </w:r>
      <w:r w:rsidR="0069047A">
        <w:rPr>
          <w:rStyle w:val="DZBesediloChar"/>
          <w:b/>
          <w:bCs/>
          <w:noProof/>
        </w:rPr>
        <w:t>v</w:t>
      </w:r>
      <w:r w:rsidR="00222317">
        <w:rPr>
          <w:rStyle w:val="DZBesediloChar"/>
          <w:b/>
          <w:bCs/>
          <w:noProof/>
        </w:rPr>
        <w:t>eljale</w:t>
      </w:r>
      <w:r w:rsidRPr="00F47D4D">
        <w:rPr>
          <w:rStyle w:val="DZBesediloChar"/>
          <w:b/>
          <w:bCs/>
          <w:noProof/>
        </w:rPr>
        <w:t xml:space="preserve"> tudi v letu 2021, se je v tem letu neto čisti </w:t>
      </w:r>
      <w:r w:rsidRPr="00115AE2">
        <w:rPr>
          <w:rStyle w:val="DZBesediloChar"/>
          <w:b/>
          <w:bCs/>
          <w:noProof/>
        </w:rPr>
        <w:t xml:space="preserve">dobiček v dejavnosti </w:t>
      </w:r>
      <w:r w:rsidR="002A4DCB" w:rsidRPr="005B2BF5">
        <w:rPr>
          <w:b/>
        </w:rPr>
        <w:t>promet in skladiščenje</w:t>
      </w:r>
      <w:r w:rsidR="002A4DCB" w:rsidRPr="00115AE2">
        <w:t xml:space="preserve"> </w:t>
      </w:r>
      <w:r w:rsidRPr="00115AE2">
        <w:rPr>
          <w:rStyle w:val="DZBesediloChar"/>
          <w:b/>
          <w:bCs/>
          <w:noProof/>
        </w:rPr>
        <w:t>sicer</w:t>
      </w:r>
      <w:r w:rsidRPr="00F47D4D">
        <w:rPr>
          <w:rStyle w:val="DZBesediloChar"/>
          <w:b/>
          <w:bCs/>
          <w:noProof/>
        </w:rPr>
        <w:t xml:space="preserve"> močno povečal, a za dobro desetino zaostal za poslovnim rezultatom iz leta 2019</w:t>
      </w:r>
      <w:r w:rsidR="00641558">
        <w:rPr>
          <w:rStyle w:val="DZBesediloChar"/>
          <w:b/>
          <w:bCs/>
          <w:noProof/>
        </w:rPr>
        <w:t xml:space="preserve">, medtem ko je bil </w:t>
      </w:r>
      <w:r w:rsidR="002A4356">
        <w:rPr>
          <w:rStyle w:val="DZBesediloChar"/>
          <w:b/>
          <w:bCs/>
          <w:noProof/>
        </w:rPr>
        <w:t>pri vseh</w:t>
      </w:r>
      <w:r w:rsidR="00222317">
        <w:rPr>
          <w:rStyle w:val="DZBesediloChar"/>
          <w:b/>
          <w:bCs/>
          <w:noProof/>
        </w:rPr>
        <w:t xml:space="preserve"> gospodarskih</w:t>
      </w:r>
      <w:r w:rsidR="002A4356">
        <w:rPr>
          <w:rStyle w:val="DZBesediloChar"/>
          <w:b/>
          <w:bCs/>
          <w:noProof/>
        </w:rPr>
        <w:t xml:space="preserve"> družbah</w:t>
      </w:r>
      <w:r w:rsidR="00222317">
        <w:rPr>
          <w:rStyle w:val="DZBesediloChar"/>
          <w:b/>
          <w:bCs/>
          <w:noProof/>
        </w:rPr>
        <w:t xml:space="preserve"> v Sloveniji</w:t>
      </w:r>
      <w:r w:rsidRPr="00F47D4D">
        <w:rPr>
          <w:rStyle w:val="DZBesediloChar"/>
          <w:b/>
          <w:bCs/>
          <w:noProof/>
        </w:rPr>
        <w:t xml:space="preserve"> </w:t>
      </w:r>
      <w:r w:rsidR="002A4356">
        <w:rPr>
          <w:rStyle w:val="DZBesediloChar"/>
          <w:b/>
          <w:bCs/>
          <w:noProof/>
        </w:rPr>
        <w:t>v</w:t>
      </w:r>
      <w:r w:rsidR="000835EB">
        <w:rPr>
          <w:rStyle w:val="DZBesediloChar"/>
          <w:b/>
          <w:bCs/>
          <w:noProof/>
        </w:rPr>
        <w:t>ečji</w:t>
      </w:r>
      <w:r w:rsidR="002A4356">
        <w:rPr>
          <w:rStyle w:val="DZBesediloChar"/>
          <w:b/>
          <w:bCs/>
          <w:noProof/>
        </w:rPr>
        <w:t xml:space="preserve"> </w:t>
      </w:r>
      <w:r w:rsidRPr="00F47D4D">
        <w:rPr>
          <w:rStyle w:val="DZBesediloChar"/>
          <w:b/>
          <w:bCs/>
          <w:noProof/>
        </w:rPr>
        <w:t xml:space="preserve">za skoraj četrtino. </w:t>
      </w:r>
      <w:r w:rsidR="009F6074">
        <w:rPr>
          <w:rStyle w:val="DZBesediloChar"/>
          <w:b/>
          <w:bCs/>
          <w:noProof/>
        </w:rPr>
        <w:t>V letu 2022 se je k</w:t>
      </w:r>
      <w:r w:rsidRPr="00F47D4D">
        <w:rPr>
          <w:rStyle w:val="DZBesediloChar"/>
          <w:b/>
          <w:bCs/>
          <w:noProof/>
        </w:rPr>
        <w:t xml:space="preserve">ončni izid poslovanja </w:t>
      </w:r>
      <w:r w:rsidR="009F6074">
        <w:rPr>
          <w:rStyle w:val="DZBesediloChar"/>
          <w:b/>
          <w:bCs/>
          <w:noProof/>
        </w:rPr>
        <w:t xml:space="preserve">nadalje močno povečal, </w:t>
      </w:r>
      <w:r w:rsidR="002C6B43">
        <w:rPr>
          <w:rStyle w:val="DZBesediloChar"/>
          <w:b/>
          <w:bCs/>
          <w:noProof/>
        </w:rPr>
        <w:t>deloma</w:t>
      </w:r>
      <w:r w:rsidR="002A5048">
        <w:rPr>
          <w:rStyle w:val="DZBesediloChar"/>
          <w:b/>
          <w:bCs/>
          <w:noProof/>
        </w:rPr>
        <w:t xml:space="preserve"> </w:t>
      </w:r>
      <w:r w:rsidR="00F63ED7">
        <w:rPr>
          <w:rStyle w:val="DZBesediloChar"/>
          <w:b/>
          <w:bCs/>
          <w:noProof/>
        </w:rPr>
        <w:t xml:space="preserve">tudi zaradi visoke inflacije, </w:t>
      </w:r>
      <w:r w:rsidR="009F6074">
        <w:rPr>
          <w:rStyle w:val="DZBesediloChar"/>
          <w:b/>
          <w:bCs/>
          <w:noProof/>
        </w:rPr>
        <w:t xml:space="preserve">tako da je bila dejavnost prometa in skladiščenja po rasti dobička </w:t>
      </w:r>
      <w:r w:rsidR="00A55D70">
        <w:rPr>
          <w:rStyle w:val="DZBesediloChar"/>
          <w:b/>
          <w:bCs/>
          <w:noProof/>
        </w:rPr>
        <w:t xml:space="preserve">zgolj </w:t>
      </w:r>
      <w:r w:rsidR="009F6074">
        <w:rPr>
          <w:rStyle w:val="DZBesediloChar"/>
          <w:b/>
          <w:bCs/>
          <w:noProof/>
        </w:rPr>
        <w:t>v tem letu med uspešnejšimi</w:t>
      </w:r>
      <w:r w:rsidR="00485C92">
        <w:rPr>
          <w:rStyle w:val="DZBesediloChar"/>
          <w:b/>
          <w:bCs/>
          <w:noProof/>
        </w:rPr>
        <w:t xml:space="preserve">, </w:t>
      </w:r>
      <w:r w:rsidR="008F31A1">
        <w:rPr>
          <w:rStyle w:val="DZBesediloChar"/>
          <w:b/>
          <w:bCs/>
          <w:noProof/>
        </w:rPr>
        <w:t xml:space="preserve">v primerjavi z </w:t>
      </w:r>
      <w:r w:rsidRPr="00F47D4D">
        <w:rPr>
          <w:rStyle w:val="DZBesediloChar"/>
          <w:b/>
          <w:bCs/>
          <w:noProof/>
        </w:rPr>
        <w:t>let</w:t>
      </w:r>
      <w:r w:rsidR="00641558">
        <w:rPr>
          <w:rStyle w:val="DZBesediloChar"/>
          <w:b/>
          <w:bCs/>
          <w:noProof/>
        </w:rPr>
        <w:t>o</w:t>
      </w:r>
      <w:r w:rsidR="008F31A1">
        <w:rPr>
          <w:rStyle w:val="DZBesediloChar"/>
          <w:b/>
          <w:bCs/>
          <w:noProof/>
        </w:rPr>
        <w:t>m</w:t>
      </w:r>
      <w:r w:rsidRPr="00F47D4D">
        <w:rPr>
          <w:rStyle w:val="DZBesediloChar"/>
          <w:b/>
          <w:bCs/>
          <w:noProof/>
        </w:rPr>
        <w:t xml:space="preserve"> 2019 </w:t>
      </w:r>
      <w:r w:rsidR="008F31A1">
        <w:rPr>
          <w:rStyle w:val="DZBesediloChar"/>
          <w:b/>
          <w:bCs/>
          <w:noProof/>
        </w:rPr>
        <w:t>pa</w:t>
      </w:r>
      <w:r w:rsidR="00B9429A">
        <w:rPr>
          <w:rStyle w:val="DZBesediloChar"/>
          <w:b/>
          <w:bCs/>
          <w:noProof/>
        </w:rPr>
        <w:t xml:space="preserve"> </w:t>
      </w:r>
      <w:r w:rsidR="00310D3B">
        <w:rPr>
          <w:rStyle w:val="DZBesediloChar"/>
          <w:b/>
          <w:bCs/>
          <w:noProof/>
        </w:rPr>
        <w:t xml:space="preserve">v tem pogledu </w:t>
      </w:r>
      <w:r w:rsidR="00485C92">
        <w:rPr>
          <w:rStyle w:val="DZBesediloChar"/>
          <w:b/>
          <w:bCs/>
          <w:noProof/>
        </w:rPr>
        <w:t>ni posebej izstopala.</w:t>
      </w:r>
      <w:r w:rsidR="004D4BA9" w:rsidRPr="004D4BA9">
        <w:rPr>
          <w:noProof/>
          <w:sz w:val="22"/>
        </w:rPr>
        <w:t xml:space="preserve"> </w:t>
      </w:r>
      <w:r w:rsidR="005F1290" w:rsidRPr="005F1290">
        <w:rPr>
          <w:rStyle w:val="DZBesediloChar"/>
          <w:b/>
          <w:bCs/>
        </w:rPr>
        <w:t>V letu</w:t>
      </w:r>
      <w:r w:rsidR="005F1290">
        <w:rPr>
          <w:rStyle w:val="DZBesediloChar"/>
          <w:b/>
          <w:bCs/>
        </w:rPr>
        <w:t xml:space="preserve"> 2023 se je dobiček malenkost zmanjšal, kar je </w:t>
      </w:r>
      <w:r w:rsidR="00CF0671">
        <w:rPr>
          <w:rStyle w:val="DZBesediloChar"/>
          <w:b/>
          <w:bCs/>
        </w:rPr>
        <w:t xml:space="preserve">podobno </w:t>
      </w:r>
      <w:r w:rsidR="005F1290">
        <w:rPr>
          <w:rStyle w:val="DZBesediloChar"/>
          <w:b/>
          <w:bCs/>
        </w:rPr>
        <w:t xml:space="preserve">kot pri vseh družbah, če </w:t>
      </w:r>
      <w:r w:rsidR="00C268D8">
        <w:rPr>
          <w:rStyle w:val="DZBesediloChar"/>
          <w:b/>
          <w:bCs/>
        </w:rPr>
        <w:t xml:space="preserve">med njimi </w:t>
      </w:r>
      <w:r w:rsidR="00CE667F">
        <w:rPr>
          <w:rStyle w:val="DZBesediloChar"/>
          <w:b/>
          <w:bCs/>
        </w:rPr>
        <w:t xml:space="preserve">izločimo </w:t>
      </w:r>
      <w:r w:rsidR="005F1290">
        <w:rPr>
          <w:rStyle w:val="DZBesediloChar"/>
          <w:b/>
          <w:bCs/>
        </w:rPr>
        <w:t>veliko izboljšanje poslovanja v dejavnosti oskrbe z električno energijo</w:t>
      </w:r>
      <w:r w:rsidR="005F1290" w:rsidRPr="007374DA">
        <w:rPr>
          <w:rStyle w:val="DZBesediloChar"/>
          <w:b/>
          <w:bCs/>
        </w:rPr>
        <w:t xml:space="preserve">. </w:t>
      </w:r>
      <w:r w:rsidR="00532764" w:rsidRPr="007374DA">
        <w:rPr>
          <w:rStyle w:val="DZBesediloChar"/>
          <w:b/>
          <w:bCs/>
        </w:rPr>
        <w:t>Da se je neto čisti dobiček v prometu in skladiščenju v letu 2023 zmanjšal le za manj kot odstotek, gre zasluga tudi precej povečanim subvencijam, brez česar bi se dobiček zmanjšal za skoraj 9 %.</w:t>
      </w:r>
      <w:r w:rsidR="00532764">
        <w:rPr>
          <w:rStyle w:val="DZBesediloChar"/>
          <w:b/>
          <w:bCs/>
        </w:rPr>
        <w:t xml:space="preserve"> </w:t>
      </w:r>
      <w:r w:rsidR="005F1290">
        <w:rPr>
          <w:rStyle w:val="DZBesediloChar"/>
          <w:b/>
          <w:bCs/>
        </w:rPr>
        <w:t>Največ n</w:t>
      </w:r>
      <w:r w:rsidR="004D4BA9" w:rsidRPr="004D4BA9">
        <w:rPr>
          <w:b/>
          <w:bCs/>
          <w:noProof/>
        </w:rPr>
        <w:t>eto čist</w:t>
      </w:r>
      <w:r w:rsidR="005F1290">
        <w:rPr>
          <w:b/>
          <w:bCs/>
          <w:noProof/>
        </w:rPr>
        <w:t>ega</w:t>
      </w:r>
      <w:r w:rsidR="004D4BA9" w:rsidRPr="004D4BA9">
        <w:rPr>
          <w:b/>
          <w:bCs/>
          <w:noProof/>
        </w:rPr>
        <w:t xml:space="preserve"> dobičk</w:t>
      </w:r>
      <w:r w:rsidR="005F1290">
        <w:rPr>
          <w:b/>
          <w:bCs/>
          <w:noProof/>
        </w:rPr>
        <w:t>a prometa in skladiščenja</w:t>
      </w:r>
      <w:r w:rsidR="0083226A">
        <w:rPr>
          <w:b/>
          <w:bCs/>
          <w:noProof/>
        </w:rPr>
        <w:t>, 55 %</w:t>
      </w:r>
      <w:r w:rsidR="000B55AF">
        <w:rPr>
          <w:b/>
          <w:bCs/>
          <w:noProof/>
        </w:rPr>
        <w:t>,</w:t>
      </w:r>
      <w:r w:rsidR="005F1290">
        <w:rPr>
          <w:b/>
          <w:bCs/>
          <w:noProof/>
        </w:rPr>
        <w:t xml:space="preserve"> </w:t>
      </w:r>
      <w:r w:rsidR="0083226A">
        <w:rPr>
          <w:b/>
          <w:bCs/>
          <w:noProof/>
        </w:rPr>
        <w:t>s</w:t>
      </w:r>
      <w:r w:rsidR="00A90EF5">
        <w:rPr>
          <w:b/>
          <w:bCs/>
          <w:noProof/>
        </w:rPr>
        <w:t>o</w:t>
      </w:r>
      <w:r w:rsidR="004D4BA9">
        <w:rPr>
          <w:b/>
          <w:bCs/>
          <w:noProof/>
        </w:rPr>
        <w:t xml:space="preserve"> v letu 202</w:t>
      </w:r>
      <w:r w:rsidR="0083226A">
        <w:rPr>
          <w:b/>
          <w:bCs/>
          <w:noProof/>
        </w:rPr>
        <w:t>3</w:t>
      </w:r>
      <w:r w:rsidR="004D4BA9">
        <w:rPr>
          <w:b/>
          <w:bCs/>
          <w:noProof/>
        </w:rPr>
        <w:t xml:space="preserve"> </w:t>
      </w:r>
      <w:r w:rsidR="0083226A">
        <w:rPr>
          <w:b/>
          <w:bCs/>
          <w:noProof/>
        </w:rPr>
        <w:t xml:space="preserve">v približno enakih deležih ustvarili </w:t>
      </w:r>
      <w:r w:rsidR="00A90EF5">
        <w:rPr>
          <w:b/>
          <w:bCs/>
          <w:noProof/>
        </w:rPr>
        <w:t xml:space="preserve">v </w:t>
      </w:r>
      <w:r w:rsidR="00A90EF5" w:rsidRPr="004D4BA9">
        <w:rPr>
          <w:b/>
          <w:bCs/>
          <w:noProof/>
        </w:rPr>
        <w:t>spremljajoč</w:t>
      </w:r>
      <w:r w:rsidR="00A90EF5">
        <w:rPr>
          <w:b/>
          <w:bCs/>
          <w:noProof/>
        </w:rPr>
        <w:t>ih</w:t>
      </w:r>
      <w:r w:rsidR="00A90EF5" w:rsidRPr="004D4BA9">
        <w:rPr>
          <w:b/>
          <w:bCs/>
          <w:noProof/>
        </w:rPr>
        <w:t xml:space="preserve"> storitven</w:t>
      </w:r>
      <w:r w:rsidR="00A90EF5">
        <w:rPr>
          <w:b/>
          <w:bCs/>
          <w:noProof/>
        </w:rPr>
        <w:t>ih</w:t>
      </w:r>
      <w:r w:rsidR="00A90EF5" w:rsidRPr="004D4BA9">
        <w:rPr>
          <w:b/>
          <w:bCs/>
          <w:noProof/>
        </w:rPr>
        <w:t xml:space="preserve"> dejavnosti</w:t>
      </w:r>
      <w:r w:rsidR="00A90EF5">
        <w:rPr>
          <w:b/>
          <w:bCs/>
          <w:noProof/>
        </w:rPr>
        <w:t>h</w:t>
      </w:r>
      <w:r w:rsidR="00A90EF5" w:rsidRPr="004D4BA9">
        <w:rPr>
          <w:b/>
          <w:bCs/>
          <w:noProof/>
        </w:rPr>
        <w:t xml:space="preserve"> v kopenskem prometu</w:t>
      </w:r>
      <w:r w:rsidR="00A90EF5">
        <w:rPr>
          <w:b/>
          <w:bCs/>
          <w:noProof/>
        </w:rPr>
        <w:t xml:space="preserve"> z družbo DARS ter </w:t>
      </w:r>
      <w:r w:rsidR="0083226A">
        <w:rPr>
          <w:b/>
          <w:bCs/>
          <w:noProof/>
        </w:rPr>
        <w:t>dejavnosti</w:t>
      </w:r>
      <w:r w:rsidR="004D4BA9" w:rsidRPr="004D4BA9">
        <w:rPr>
          <w:b/>
          <w:bCs/>
          <w:noProof/>
        </w:rPr>
        <w:t xml:space="preserve"> cestne</w:t>
      </w:r>
      <w:r w:rsidR="0083226A">
        <w:rPr>
          <w:b/>
          <w:bCs/>
          <w:noProof/>
        </w:rPr>
        <w:t>ga</w:t>
      </w:r>
      <w:r w:rsidR="004D4BA9" w:rsidRPr="004D4BA9">
        <w:rPr>
          <w:b/>
          <w:bCs/>
          <w:noProof/>
        </w:rPr>
        <w:t xml:space="preserve"> tovorne</w:t>
      </w:r>
      <w:r w:rsidR="0083226A">
        <w:rPr>
          <w:b/>
          <w:bCs/>
          <w:noProof/>
        </w:rPr>
        <w:t>ga</w:t>
      </w:r>
      <w:r w:rsidR="004D4BA9" w:rsidRPr="004D4BA9">
        <w:rPr>
          <w:b/>
          <w:bCs/>
          <w:noProof/>
        </w:rPr>
        <w:t xml:space="preserve"> promet</w:t>
      </w:r>
      <w:r w:rsidR="0083226A">
        <w:rPr>
          <w:b/>
          <w:bCs/>
          <w:noProof/>
        </w:rPr>
        <w:t>a</w:t>
      </w:r>
      <w:r w:rsidR="00A90EF5">
        <w:rPr>
          <w:b/>
          <w:bCs/>
          <w:noProof/>
        </w:rPr>
        <w:t xml:space="preserve">. Najbolj se je dobiček zmanjšal </w:t>
      </w:r>
      <w:bookmarkStart w:id="22" w:name="_Hlk166766415"/>
      <w:r w:rsidR="00A90EF5">
        <w:rPr>
          <w:b/>
          <w:bCs/>
          <w:noProof/>
        </w:rPr>
        <w:t xml:space="preserve">v dejavnostih pretovarjanja, skladiščenja in na špediciji, najbolj </w:t>
      </w:r>
      <w:r w:rsidR="009E605F">
        <w:rPr>
          <w:b/>
          <w:bCs/>
          <w:noProof/>
        </w:rPr>
        <w:t xml:space="preserve">pa se je </w:t>
      </w:r>
      <w:r w:rsidR="00A90EF5">
        <w:rPr>
          <w:b/>
          <w:bCs/>
          <w:noProof/>
        </w:rPr>
        <w:t>povečal v avtobusnem in železniškem potniškem prometu.</w:t>
      </w:r>
      <w:bookmarkEnd w:id="22"/>
    </w:p>
    <w:p w14:paraId="7504A85C" w14:textId="77777777" w:rsidR="00407C0D" w:rsidRDefault="00407C0D" w:rsidP="00407C0D">
      <w:pPr>
        <w:pStyle w:val="BesediloUMAR"/>
      </w:pPr>
    </w:p>
    <w:p w14:paraId="4EBBBAC5" w14:textId="77777777" w:rsidR="00481B30" w:rsidRDefault="008F6BED" w:rsidP="00471713">
      <w:pPr>
        <w:pStyle w:val="Naslov1"/>
      </w:pPr>
      <w:bookmarkStart w:id="23" w:name="_Toc168909545"/>
      <w:r>
        <w:lastRenderedPageBreak/>
        <w:t>Uvod</w:t>
      </w:r>
      <w:bookmarkEnd w:id="23"/>
      <w:r>
        <w:t xml:space="preserve"> </w:t>
      </w:r>
      <w:bookmarkEnd w:id="18"/>
      <w:bookmarkEnd w:id="19"/>
      <w:bookmarkEnd w:id="20"/>
    </w:p>
    <w:p w14:paraId="12F90065" w14:textId="77777777" w:rsidR="00962421" w:rsidRDefault="00962421" w:rsidP="006C15DE">
      <w:pPr>
        <w:pStyle w:val="BesediloUMAR"/>
      </w:pPr>
    </w:p>
    <w:p w14:paraId="1DF9DB43" w14:textId="52898AC6" w:rsidR="00962421" w:rsidRDefault="00C22DC4" w:rsidP="00841867">
      <w:pPr>
        <w:pStyle w:val="BesediloUMAR"/>
      </w:pPr>
      <w:r w:rsidRPr="00C22DC4">
        <w:t>V kratki analizi prouč</w:t>
      </w:r>
      <w:r w:rsidR="009D42BB">
        <w:t>uje</w:t>
      </w:r>
      <w:r w:rsidRPr="00C22DC4">
        <w:t xml:space="preserve">mo statistične podatke iz bilanc stanja </w:t>
      </w:r>
      <w:r w:rsidR="00DF10EE">
        <w:t>ter</w:t>
      </w:r>
      <w:r w:rsidRPr="00C22DC4">
        <w:t xml:space="preserve"> izkaza poslovnega izida gospodarskih družb</w:t>
      </w:r>
      <w:r w:rsidRPr="00C02438">
        <w:rPr>
          <w:vertAlign w:val="superscript"/>
        </w:rPr>
        <w:footnoteReference w:id="2"/>
      </w:r>
      <w:r w:rsidRPr="00C22DC4">
        <w:t xml:space="preserve"> v dejavnosti promet in skladiščenje (H), ki po dodani vrednosti, dobičku </w:t>
      </w:r>
      <w:r w:rsidR="00DF10EE">
        <w:t>ter</w:t>
      </w:r>
      <w:r w:rsidRPr="00C22DC4">
        <w:t xml:space="preserve"> številu zaposlenih spada med pomembnejše dejavnosti slovenskega gospodarstva. </w:t>
      </w:r>
      <w:r w:rsidR="007A1718">
        <w:t>Po ustvarjeni dodani vrednosti</w:t>
      </w:r>
      <w:r w:rsidR="006A05E7">
        <w:t>,</w:t>
      </w:r>
      <w:r w:rsidR="007A1718">
        <w:t xml:space="preserve"> </w:t>
      </w:r>
      <w:r w:rsidR="00674384">
        <w:t>okoli</w:t>
      </w:r>
      <w:r w:rsidR="007A1718">
        <w:t xml:space="preserve"> </w:t>
      </w:r>
      <w:r w:rsidR="00674384">
        <w:t>9</w:t>
      </w:r>
      <w:r w:rsidR="007A1718">
        <w:t> %</w:t>
      </w:r>
      <w:r w:rsidR="006A05E7">
        <w:t>,</w:t>
      </w:r>
      <w:r w:rsidR="007A1718">
        <w:t xml:space="preserve"> se prometne družbe uvrščajo na tretje mesto med dejavnostmi, takoj za predelovalnimi in trgovinskimi. </w:t>
      </w:r>
      <w:r w:rsidRPr="00C22DC4">
        <w:t>Gospodarske družbe ustvarijo prek 85 % dodane vrednosti celotne dejavnosti prometa</w:t>
      </w:r>
      <w:r w:rsidR="001E2C09">
        <w:t>,</w:t>
      </w:r>
      <w:r w:rsidR="00C403F6">
        <w:t xml:space="preserve"> </w:t>
      </w:r>
      <w:r w:rsidRPr="00C22DC4">
        <w:t>ostalo pa drugi poslovni subjekti, od tega pomemben del samostojni podjetniki.</w:t>
      </w:r>
      <w:r w:rsidR="009877A4">
        <w:rPr>
          <w:rStyle w:val="Sprotnaopomba-sklic"/>
        </w:rPr>
        <w:footnoteReference w:id="3"/>
      </w:r>
      <w:r w:rsidRPr="00C22DC4">
        <w:t xml:space="preserve"> Zanimajo nas glavne značilnosti poslovanja in njihovega premoženjsko-finančnega položaja. Analiza zajema obdobje po letu 2008</w:t>
      </w:r>
      <w:r w:rsidR="00904808" w:rsidRPr="00904808">
        <w:t xml:space="preserve"> </w:t>
      </w:r>
      <w:r w:rsidR="00904808">
        <w:t>(z</w:t>
      </w:r>
      <w:r w:rsidR="00904808" w:rsidRPr="006C15DE">
        <w:t xml:space="preserve">aradi spremembe Standardne klasifikacije dejavnosti </w:t>
      </w:r>
      <w:r w:rsidR="00904808">
        <w:t>v tem</w:t>
      </w:r>
      <w:r w:rsidR="00904808" w:rsidRPr="006C15DE">
        <w:t xml:space="preserve"> let</w:t>
      </w:r>
      <w:r w:rsidR="00904808">
        <w:t>u)</w:t>
      </w:r>
      <w:r w:rsidRPr="00C22DC4">
        <w:t xml:space="preserve">, z glavnim poudarkom na poslovanju </w:t>
      </w:r>
      <w:r w:rsidR="00F1082B">
        <w:t>po</w:t>
      </w:r>
      <w:r w:rsidR="00AC2549">
        <w:t xml:space="preserve"> epidemij</w:t>
      </w:r>
      <w:r w:rsidR="00F1082B">
        <w:t>i</w:t>
      </w:r>
      <w:r w:rsidR="00841867">
        <w:t xml:space="preserve"> in energetski krizi do</w:t>
      </w:r>
      <w:r w:rsidRPr="00C22DC4">
        <w:t xml:space="preserve"> let</w:t>
      </w:r>
      <w:r w:rsidR="00841867">
        <w:t>a</w:t>
      </w:r>
      <w:r w:rsidRPr="00C22DC4">
        <w:t xml:space="preserve"> 202</w:t>
      </w:r>
      <w:r w:rsidR="00841867">
        <w:t>3,</w:t>
      </w:r>
      <w:r w:rsidR="00F1082B">
        <w:t xml:space="preserve"> ko </w:t>
      </w:r>
      <w:r w:rsidR="00841867">
        <w:t>je zlasti v zadnjih dveh letih na nominalne številke močno vplivala tudi visoka</w:t>
      </w:r>
      <w:r w:rsidR="00F1082B">
        <w:t xml:space="preserve"> </w:t>
      </w:r>
      <w:r w:rsidR="009E7B4E">
        <w:t>inflacija</w:t>
      </w:r>
      <w:r w:rsidRPr="00C22DC4">
        <w:t xml:space="preserve">. </w:t>
      </w:r>
      <w:r w:rsidR="00904808" w:rsidRPr="006C15DE">
        <w:t>Podatki za vsako od analiziranih let vključujejo gospodarske družbe, ki so v tistem letu dejansko poslovale.</w:t>
      </w:r>
      <w:r w:rsidR="00904808" w:rsidRPr="00962421">
        <w:t xml:space="preserve"> </w:t>
      </w:r>
      <w:r w:rsidR="00904808" w:rsidRPr="006C15DE">
        <w:t>Vse kategorije primerjamo</w:t>
      </w:r>
      <w:r w:rsidR="009658DF">
        <w:t xml:space="preserve"> </w:t>
      </w:r>
      <w:r w:rsidR="00904808" w:rsidRPr="006C15DE">
        <w:t>v</w:t>
      </w:r>
      <w:r w:rsidR="009658DF">
        <w:t xml:space="preserve"> </w:t>
      </w:r>
      <w:r w:rsidR="00904808" w:rsidRPr="006C15DE">
        <w:t>tekočih</w:t>
      </w:r>
      <w:r w:rsidR="009658DF">
        <w:t xml:space="preserve"> </w:t>
      </w:r>
      <w:r w:rsidR="00904808" w:rsidRPr="006C15DE">
        <w:t>cenah</w:t>
      </w:r>
      <w:r w:rsidR="00EC7CF8">
        <w:t>.</w:t>
      </w:r>
      <w:r w:rsidR="009658DF">
        <w:t xml:space="preserve"> </w:t>
      </w:r>
      <w:r w:rsidR="002A6C39">
        <w:t xml:space="preserve">Najprej predstavimo poslovanje celotne dejavnosti prometa in skladiščenja (H), </w:t>
      </w:r>
      <w:r w:rsidR="00CF5036">
        <w:t xml:space="preserve">in sicer </w:t>
      </w:r>
      <w:r w:rsidR="002A6C39">
        <w:t>glede doseganja dodane vrednosti, neto čistega dobička ter glavnih kazalnikov donosnosti, v tabeli pa nav</w:t>
      </w:r>
      <w:r w:rsidR="009C09F0">
        <w:t>edemo</w:t>
      </w:r>
      <w:r w:rsidR="002A6C39">
        <w:t xml:space="preserve"> še ostale</w:t>
      </w:r>
      <w:r w:rsidR="009658DF">
        <w:t xml:space="preserve"> </w:t>
      </w:r>
      <w:r w:rsidR="002A6C39">
        <w:t>pomembnejše</w:t>
      </w:r>
      <w:r w:rsidR="009658DF">
        <w:t xml:space="preserve"> </w:t>
      </w:r>
      <w:r w:rsidR="002A6C39">
        <w:t>kazalnike</w:t>
      </w:r>
      <w:r w:rsidR="009C09F0">
        <w:t>.</w:t>
      </w:r>
      <w:r w:rsidR="009658DF">
        <w:t xml:space="preserve"> </w:t>
      </w:r>
      <w:r w:rsidR="002A6C39">
        <w:t>V prvih dveh grafih</w:t>
      </w:r>
      <w:r w:rsidR="009C09F0">
        <w:t xml:space="preserve"> so izpostavljene najpomembnejše dejavnosti v okviru prometa in skladiščenja po velikosti ustvarjene dodane vrednosti, ne glede na položaj v klasifikaciji dejavnosti. Temu sledi predstavitev poslovanja v dejavnosti</w:t>
      </w:r>
      <w:r w:rsidR="002D4B8B">
        <w:t>h</w:t>
      </w:r>
      <w:r w:rsidR="009C09F0">
        <w:t xml:space="preserve"> prometa in skladiščenja, kot si sledijo po oddelkih </w:t>
      </w:r>
      <w:r w:rsidR="002D4B8B">
        <w:t>SKD 2008 klasifikacije: K</w:t>
      </w:r>
      <w:r w:rsidR="002D4B8B" w:rsidRPr="002D4B8B">
        <w:t>openski promet in cevovodni transport (H 49)</w:t>
      </w:r>
      <w:r w:rsidR="002D4B8B">
        <w:t>, V</w:t>
      </w:r>
      <w:r w:rsidR="002D4B8B" w:rsidRPr="002D4B8B">
        <w:t>od</w:t>
      </w:r>
      <w:r w:rsidR="002D4B8B">
        <w:t>ni</w:t>
      </w:r>
      <w:r w:rsidR="002D4B8B" w:rsidRPr="002D4B8B">
        <w:t xml:space="preserve"> promet (H 50)</w:t>
      </w:r>
      <w:r w:rsidR="002D4B8B">
        <w:t>, Zračni promet (H 51), S</w:t>
      </w:r>
      <w:r w:rsidR="002D4B8B" w:rsidRPr="002D4B8B">
        <w:t>kladiščenje in spremljajoče prometne dejavnosti (</w:t>
      </w:r>
      <w:r w:rsidR="002D4B8B">
        <w:t>H</w:t>
      </w:r>
      <w:r w:rsidR="002D4B8B" w:rsidRPr="002D4B8B">
        <w:t xml:space="preserve"> 52)</w:t>
      </w:r>
      <w:r w:rsidR="002D4B8B">
        <w:t xml:space="preserve"> </w:t>
      </w:r>
      <w:r w:rsidR="002904E4">
        <w:t>ter</w:t>
      </w:r>
      <w:r w:rsidR="002D4B8B">
        <w:t xml:space="preserve"> </w:t>
      </w:r>
      <w:r w:rsidR="002D4B8B" w:rsidRPr="002D4B8B">
        <w:t>Poštna in kurirska dejavnost (H 53)</w:t>
      </w:r>
      <w:r w:rsidR="002D4B8B">
        <w:t>.</w:t>
      </w:r>
    </w:p>
    <w:p w14:paraId="155D5E47" w14:textId="77777777" w:rsidR="001554D4" w:rsidRDefault="001554D4" w:rsidP="006C15DE">
      <w:pPr>
        <w:pStyle w:val="BesediloUMAR"/>
      </w:pPr>
    </w:p>
    <w:p w14:paraId="39F68177" w14:textId="77777777" w:rsidR="00407C0D" w:rsidRPr="003F33CD" w:rsidRDefault="00407C0D" w:rsidP="00E60966">
      <w:pPr>
        <w:pStyle w:val="BesediloUMAR"/>
      </w:pPr>
    </w:p>
    <w:p w14:paraId="40D18A7F" w14:textId="6529452B" w:rsidR="008F6BED" w:rsidRDefault="008F6BED" w:rsidP="008F6BED">
      <w:pPr>
        <w:pStyle w:val="Naslov1"/>
      </w:pPr>
      <w:bookmarkStart w:id="24" w:name="_Toc168909546"/>
      <w:r>
        <w:lastRenderedPageBreak/>
        <w:t xml:space="preserve">Poslovanje gospodarskih družb </w:t>
      </w:r>
      <w:r w:rsidR="00133B1D">
        <w:t>prometa in skladiščenja</w:t>
      </w:r>
      <w:bookmarkEnd w:id="24"/>
    </w:p>
    <w:p w14:paraId="3091DF28" w14:textId="77777777" w:rsidR="00C021F4" w:rsidRDefault="00C021F4" w:rsidP="00C021F4">
      <w:pPr>
        <w:pStyle w:val="BesediloUMAR"/>
      </w:pPr>
      <w:bookmarkStart w:id="25" w:name="_Toc96409042"/>
    </w:p>
    <w:p w14:paraId="5BBFAF55" w14:textId="35EEEE96" w:rsidR="002D4B8B" w:rsidRPr="001554D4" w:rsidRDefault="002D4B8B" w:rsidP="002D4B8B">
      <w:pPr>
        <w:pStyle w:val="BesediloUMAR"/>
      </w:pPr>
      <w:r w:rsidRPr="0033628B">
        <w:rPr>
          <w:b/>
        </w:rPr>
        <w:t xml:space="preserve">Dodana vrednost prometa in skladiščenja (H) se je </w:t>
      </w:r>
      <w:r>
        <w:rPr>
          <w:b/>
        </w:rPr>
        <w:t>v analiziranem obdobju 2008–202</w:t>
      </w:r>
      <w:r w:rsidR="003C2C5C">
        <w:rPr>
          <w:b/>
        </w:rPr>
        <w:t>3</w:t>
      </w:r>
      <w:r w:rsidRPr="0033628B">
        <w:rPr>
          <w:b/>
          <w:vertAlign w:val="superscript"/>
          <w:lang w:val="x-none"/>
        </w:rPr>
        <w:footnoteReference w:id="4"/>
      </w:r>
      <w:r>
        <w:rPr>
          <w:b/>
        </w:rPr>
        <w:t xml:space="preserve"> </w:t>
      </w:r>
      <w:r w:rsidRPr="0033628B">
        <w:rPr>
          <w:b/>
        </w:rPr>
        <w:t>z</w:t>
      </w:r>
      <w:r w:rsidR="00527D53">
        <w:rPr>
          <w:b/>
        </w:rPr>
        <w:t>manjšala</w:t>
      </w:r>
      <w:r w:rsidRPr="0033628B">
        <w:rPr>
          <w:b/>
        </w:rPr>
        <w:t xml:space="preserve"> </w:t>
      </w:r>
      <w:r>
        <w:rPr>
          <w:b/>
        </w:rPr>
        <w:t>le v</w:t>
      </w:r>
      <w:r w:rsidRPr="0033628B">
        <w:rPr>
          <w:b/>
        </w:rPr>
        <w:t xml:space="preserve"> let</w:t>
      </w:r>
      <w:r>
        <w:rPr>
          <w:b/>
        </w:rPr>
        <w:t>ih</w:t>
      </w:r>
      <w:r w:rsidRPr="0033628B">
        <w:rPr>
          <w:b/>
        </w:rPr>
        <w:t xml:space="preserve"> 2009 </w:t>
      </w:r>
      <w:r>
        <w:rPr>
          <w:b/>
        </w:rPr>
        <w:t>in</w:t>
      </w:r>
      <w:r w:rsidRPr="0033628B">
        <w:rPr>
          <w:b/>
        </w:rPr>
        <w:t xml:space="preserve"> 2020,</w:t>
      </w:r>
      <w:r>
        <w:rPr>
          <w:b/>
        </w:rPr>
        <w:t xml:space="preserve"> močno je rasla zlasti v drugi polovici prejšnjega desetletja ter v zadnjih </w:t>
      </w:r>
      <w:r w:rsidR="003E6DB6">
        <w:rPr>
          <w:b/>
        </w:rPr>
        <w:t>tr</w:t>
      </w:r>
      <w:r>
        <w:rPr>
          <w:b/>
        </w:rPr>
        <w:t>eh letih.</w:t>
      </w:r>
      <w:r w:rsidRPr="0033628B">
        <w:rPr>
          <w:b/>
        </w:rPr>
        <w:t xml:space="preserve"> </w:t>
      </w:r>
      <w:r w:rsidRPr="00123CD6">
        <w:rPr>
          <w:bCs/>
        </w:rPr>
        <w:t>Potem</w:t>
      </w:r>
      <w:r>
        <w:rPr>
          <w:bCs/>
        </w:rPr>
        <w:t xml:space="preserve"> ko so v</w:t>
      </w:r>
      <w:r w:rsidRPr="0033628B">
        <w:rPr>
          <w:bCs/>
        </w:rPr>
        <w:t xml:space="preserve"> </w:t>
      </w:r>
      <w:proofErr w:type="spellStart"/>
      <w:r w:rsidRPr="00D366AC">
        <w:rPr>
          <w:bCs/>
        </w:rPr>
        <w:t>epidemijskem</w:t>
      </w:r>
      <w:proofErr w:type="spellEnd"/>
      <w:r w:rsidRPr="00D366AC">
        <w:rPr>
          <w:bCs/>
        </w:rPr>
        <w:t xml:space="preserve"> letu 2020 gospodarske</w:t>
      </w:r>
      <w:r w:rsidRPr="0033628B">
        <w:rPr>
          <w:bCs/>
        </w:rPr>
        <w:t xml:space="preserve"> družbe v dejavnosti H ustvarile </w:t>
      </w:r>
      <w:r>
        <w:rPr>
          <w:bCs/>
        </w:rPr>
        <w:t>za</w:t>
      </w:r>
      <w:r w:rsidRPr="0033628B">
        <w:rPr>
          <w:bCs/>
        </w:rPr>
        <w:t xml:space="preserve"> 6,8 % manj </w:t>
      </w:r>
      <w:r>
        <w:rPr>
          <w:bCs/>
        </w:rPr>
        <w:t>dodane vrednosti</w:t>
      </w:r>
      <w:r>
        <w:rPr>
          <w:rStyle w:val="Sprotnaopomba-sklic"/>
          <w:bCs/>
        </w:rPr>
        <w:footnoteReference w:id="5"/>
      </w:r>
      <w:r>
        <w:rPr>
          <w:bCs/>
        </w:rPr>
        <w:t xml:space="preserve"> </w:t>
      </w:r>
      <w:r w:rsidRPr="0033628B">
        <w:rPr>
          <w:bCs/>
        </w:rPr>
        <w:t>kot leto prej</w:t>
      </w:r>
      <w:bookmarkStart w:id="26" w:name="_Hlk45800534"/>
      <w:r w:rsidRPr="0033628B">
        <w:rPr>
          <w:bCs/>
        </w:rPr>
        <w:t xml:space="preserve">, </w:t>
      </w:r>
      <w:r>
        <w:rPr>
          <w:bCs/>
        </w:rPr>
        <w:t>se je v letih 2021</w:t>
      </w:r>
      <w:r w:rsidR="003E6DB6">
        <w:rPr>
          <w:bCs/>
        </w:rPr>
        <w:t>,</w:t>
      </w:r>
      <w:r>
        <w:rPr>
          <w:bCs/>
        </w:rPr>
        <w:t xml:space="preserve"> 2022 </w:t>
      </w:r>
      <w:r w:rsidR="003E6DB6">
        <w:rPr>
          <w:bCs/>
        </w:rPr>
        <w:t xml:space="preserve">in 2023 </w:t>
      </w:r>
      <w:r>
        <w:rPr>
          <w:bCs/>
        </w:rPr>
        <w:t>poslovanje močno izboljšalo in dodana vrednost povečala za 10,4 %</w:t>
      </w:r>
      <w:r w:rsidR="003E6DB6">
        <w:rPr>
          <w:bCs/>
        </w:rPr>
        <w:t>,</w:t>
      </w:r>
      <w:r>
        <w:rPr>
          <w:bCs/>
        </w:rPr>
        <w:t xml:space="preserve"> 15,9 %</w:t>
      </w:r>
      <w:r w:rsidR="003E6DB6">
        <w:rPr>
          <w:bCs/>
        </w:rPr>
        <w:t xml:space="preserve"> in 7,1 %</w:t>
      </w:r>
      <w:r>
        <w:rPr>
          <w:bCs/>
        </w:rPr>
        <w:t>. V letu 202</w:t>
      </w:r>
      <w:r w:rsidR="003E6DB6">
        <w:rPr>
          <w:bCs/>
        </w:rPr>
        <w:t>3</w:t>
      </w:r>
      <w:r>
        <w:rPr>
          <w:bCs/>
        </w:rPr>
        <w:t xml:space="preserve"> se je v primerjavi z letom 2019 nominalno dodana vrednost družb prometa povečala za </w:t>
      </w:r>
      <w:r w:rsidR="003E6DB6">
        <w:rPr>
          <w:bCs/>
        </w:rPr>
        <w:t>27</w:t>
      </w:r>
      <w:r>
        <w:rPr>
          <w:bCs/>
        </w:rPr>
        <w:t>,</w:t>
      </w:r>
      <w:r w:rsidR="003E6DB6">
        <w:rPr>
          <w:bCs/>
        </w:rPr>
        <w:t>7</w:t>
      </w:r>
      <w:r>
        <w:rPr>
          <w:bCs/>
        </w:rPr>
        <w:t xml:space="preserve"> %, </w:t>
      </w:r>
      <w:r w:rsidR="00927A74">
        <w:rPr>
          <w:bCs/>
        </w:rPr>
        <w:t xml:space="preserve">a </w:t>
      </w:r>
      <w:r>
        <w:rPr>
          <w:bCs/>
        </w:rPr>
        <w:t>manj kot pri vseh gospodarskih družbah, kjer je</w:t>
      </w:r>
      <w:r w:rsidR="00927A74">
        <w:rPr>
          <w:bCs/>
        </w:rPr>
        <w:t xml:space="preserve"> rast</w:t>
      </w:r>
      <w:r>
        <w:rPr>
          <w:bCs/>
        </w:rPr>
        <w:t xml:space="preserve"> znašala </w:t>
      </w:r>
      <w:r w:rsidR="003E6DB6">
        <w:rPr>
          <w:bCs/>
        </w:rPr>
        <w:t>37</w:t>
      </w:r>
      <w:r>
        <w:rPr>
          <w:bCs/>
        </w:rPr>
        <w:t>,</w:t>
      </w:r>
      <w:r w:rsidR="003E6DB6">
        <w:rPr>
          <w:bCs/>
        </w:rPr>
        <w:t>6</w:t>
      </w:r>
      <w:r>
        <w:rPr>
          <w:bCs/>
        </w:rPr>
        <w:t> %</w:t>
      </w:r>
      <w:r>
        <w:rPr>
          <w:rStyle w:val="Sprotnaopomba-sklic"/>
          <w:bCs/>
        </w:rPr>
        <w:footnoteReference w:id="6"/>
      </w:r>
      <w:r>
        <w:rPr>
          <w:bCs/>
        </w:rPr>
        <w:t xml:space="preserve">. </w:t>
      </w:r>
      <w:r w:rsidR="001E0797">
        <w:rPr>
          <w:bCs/>
        </w:rPr>
        <w:t>Razmeroma</w:t>
      </w:r>
      <w:r>
        <w:rPr>
          <w:bCs/>
        </w:rPr>
        <w:t xml:space="preserve"> </w:t>
      </w:r>
      <w:r w:rsidRPr="00456AF0">
        <w:rPr>
          <w:bCs/>
        </w:rPr>
        <w:t>nižjo r</w:t>
      </w:r>
      <w:r>
        <w:rPr>
          <w:bCs/>
        </w:rPr>
        <w:t xml:space="preserve">ast dodane vrednosti v prometu povezujemo z večjim vplivom epidemije in energetske krize na to dejavnost. V nekaterih delih prometne dejavnosti so bile namreč v letu 2021 posledice epidemije še bolj prisotne kot v ostalem delu gospodarstva, </w:t>
      </w:r>
      <w:r w:rsidR="003A50D2">
        <w:rPr>
          <w:bCs/>
        </w:rPr>
        <w:t>v</w:t>
      </w:r>
      <w:r>
        <w:rPr>
          <w:bCs/>
        </w:rPr>
        <w:t xml:space="preserve"> letu 2022 pa so energetsko krizo z visokimi cenami energije prometne družbe tudi bolj občutile, saj je </w:t>
      </w:r>
      <w:r w:rsidR="003C2C5C">
        <w:rPr>
          <w:bCs/>
        </w:rPr>
        <w:t xml:space="preserve">bil </w:t>
      </w:r>
      <w:r>
        <w:rPr>
          <w:bCs/>
        </w:rPr>
        <w:t>tam delež stroškov energije v poslovnih odhodkih precej v</w:t>
      </w:r>
      <w:r w:rsidR="003B6338">
        <w:rPr>
          <w:bCs/>
        </w:rPr>
        <w:t>ečji</w:t>
      </w:r>
      <w:r>
        <w:rPr>
          <w:bCs/>
        </w:rPr>
        <w:t xml:space="preserve"> in je znašal kar </w:t>
      </w:r>
      <w:r w:rsidRPr="00133FFD">
        <w:rPr>
          <w:bCs/>
        </w:rPr>
        <w:t>13%</w:t>
      </w:r>
      <w:r>
        <w:rPr>
          <w:bCs/>
        </w:rPr>
        <w:t xml:space="preserve"> (pri vseh družbah le 2,7 %</w:t>
      </w:r>
      <w:r w:rsidR="00133FFD">
        <w:rPr>
          <w:bCs/>
        </w:rPr>
        <w:t xml:space="preserve">). Visok delež stroškov energije, a bolj podoben </w:t>
      </w:r>
      <w:proofErr w:type="spellStart"/>
      <w:r w:rsidR="00133FFD">
        <w:rPr>
          <w:bCs/>
        </w:rPr>
        <w:t>predkriznim</w:t>
      </w:r>
      <w:proofErr w:type="spellEnd"/>
      <w:r w:rsidR="00133FFD">
        <w:rPr>
          <w:bCs/>
        </w:rPr>
        <w:t xml:space="preserve"> ravnem, se je z 11,7 % ohranil </w:t>
      </w:r>
      <w:r w:rsidR="008A3B42">
        <w:rPr>
          <w:bCs/>
        </w:rPr>
        <w:t xml:space="preserve">tudi </w:t>
      </w:r>
      <w:r w:rsidR="00133FFD">
        <w:rPr>
          <w:bCs/>
        </w:rPr>
        <w:t>v letu 2023</w:t>
      </w:r>
      <w:r>
        <w:rPr>
          <w:bCs/>
        </w:rPr>
        <w:t xml:space="preserve">. </w:t>
      </w:r>
      <w:bookmarkEnd w:id="26"/>
      <w:r w:rsidRPr="0033628B">
        <w:rPr>
          <w:bCs/>
        </w:rPr>
        <w:t xml:space="preserve">Po dodani vrednosti v </w:t>
      </w:r>
      <w:r>
        <w:rPr>
          <w:bCs/>
        </w:rPr>
        <w:t xml:space="preserve">družbah </w:t>
      </w:r>
      <w:r w:rsidRPr="0033628B">
        <w:rPr>
          <w:bCs/>
        </w:rPr>
        <w:t>dejavnosti H je tako (tudi brez upoštevanja samostojnih podjetnikov</w:t>
      </w:r>
      <w:r w:rsidRPr="0033628B">
        <w:rPr>
          <w:bCs/>
          <w:vertAlign w:val="superscript"/>
        </w:rPr>
        <w:footnoteReference w:id="7"/>
      </w:r>
      <w:r w:rsidRPr="0033628B">
        <w:rPr>
          <w:bCs/>
        </w:rPr>
        <w:t xml:space="preserve">) </w:t>
      </w:r>
      <w:r>
        <w:rPr>
          <w:bCs/>
        </w:rPr>
        <w:t>z</w:t>
      </w:r>
      <w:r w:rsidRPr="0033628B">
        <w:rPr>
          <w:bCs/>
        </w:rPr>
        <w:t xml:space="preserve"> </w:t>
      </w:r>
      <w:r>
        <w:rPr>
          <w:bCs/>
        </w:rPr>
        <w:t>9</w:t>
      </w:r>
      <w:r w:rsidR="00133FFD">
        <w:rPr>
          <w:bCs/>
        </w:rPr>
        <w:t>94</w:t>
      </w:r>
      <w:r w:rsidRPr="0033628B">
        <w:rPr>
          <w:bCs/>
        </w:rPr>
        <w:t xml:space="preserve"> mio EUR in 3</w:t>
      </w:r>
      <w:r w:rsidR="00133FFD">
        <w:rPr>
          <w:bCs/>
        </w:rPr>
        <w:t>5</w:t>
      </w:r>
      <w:r w:rsidRPr="0033628B">
        <w:rPr>
          <w:bCs/>
        </w:rPr>
        <w:t xml:space="preserve">-odstotnim deležem cestni tovorni promet najpomembnejši. Druga največja dejavnost </w:t>
      </w:r>
      <w:r w:rsidRPr="00BA7846">
        <w:rPr>
          <w:bCs/>
        </w:rPr>
        <w:t>v okviru prometne</w:t>
      </w:r>
      <w:r w:rsidRPr="0033628B">
        <w:rPr>
          <w:bCs/>
        </w:rPr>
        <w:t xml:space="preserve"> so spremljajoče storitvene dejavnosti v kopenskem prometu, kjer so leta 202</w:t>
      </w:r>
      <w:r w:rsidR="00133FFD">
        <w:rPr>
          <w:bCs/>
        </w:rPr>
        <w:t>3</w:t>
      </w:r>
      <w:r w:rsidRPr="0033628B">
        <w:rPr>
          <w:bCs/>
        </w:rPr>
        <w:t xml:space="preserve"> ustvarili </w:t>
      </w:r>
      <w:r w:rsidR="00133FFD">
        <w:rPr>
          <w:bCs/>
        </w:rPr>
        <w:t>513</w:t>
      </w:r>
      <w:r w:rsidRPr="0033628B">
        <w:rPr>
          <w:bCs/>
        </w:rPr>
        <w:t xml:space="preserve"> mio EUR dodane vrednosti</w:t>
      </w:r>
      <w:r w:rsidR="00133FFD">
        <w:rPr>
          <w:bCs/>
        </w:rPr>
        <w:t xml:space="preserve"> (18 % v H)</w:t>
      </w:r>
      <w:r w:rsidRPr="0033628B">
        <w:rPr>
          <w:bCs/>
        </w:rPr>
        <w:t>. V letu 202</w:t>
      </w:r>
      <w:r w:rsidR="00133FFD">
        <w:rPr>
          <w:bCs/>
        </w:rPr>
        <w:t>3</w:t>
      </w:r>
      <w:r>
        <w:rPr>
          <w:bCs/>
        </w:rPr>
        <w:t xml:space="preserve"> so glede na </w:t>
      </w:r>
      <w:proofErr w:type="spellStart"/>
      <w:r>
        <w:rPr>
          <w:bCs/>
        </w:rPr>
        <w:t>predepidemijsko</w:t>
      </w:r>
      <w:proofErr w:type="spellEnd"/>
      <w:r>
        <w:rPr>
          <w:bCs/>
        </w:rPr>
        <w:t xml:space="preserve"> leto 2019 v okviru družb prometa dodano vrednost</w:t>
      </w:r>
      <w:r w:rsidRPr="0033628B">
        <w:rPr>
          <w:bCs/>
        </w:rPr>
        <w:t xml:space="preserve"> </w:t>
      </w:r>
      <w:r>
        <w:rPr>
          <w:bCs/>
        </w:rPr>
        <w:t xml:space="preserve">daleč najbolj, za </w:t>
      </w:r>
      <w:r w:rsidR="00B8019A">
        <w:rPr>
          <w:bCs/>
        </w:rPr>
        <w:t>285</w:t>
      </w:r>
      <w:r>
        <w:rPr>
          <w:bCs/>
        </w:rPr>
        <w:t xml:space="preserve"> mio EUR, povečali v cestnem tovornem prometu, močno, za </w:t>
      </w:r>
      <w:r w:rsidR="00B8019A">
        <w:rPr>
          <w:bCs/>
        </w:rPr>
        <w:t>82</w:t>
      </w:r>
      <w:r>
        <w:rPr>
          <w:bCs/>
        </w:rPr>
        <w:t xml:space="preserve"> mio EUR in </w:t>
      </w:r>
      <w:r w:rsidR="00B8019A">
        <w:rPr>
          <w:bCs/>
        </w:rPr>
        <w:t>67</w:t>
      </w:r>
      <w:r>
        <w:rPr>
          <w:bCs/>
        </w:rPr>
        <w:t xml:space="preserve"> mio EUR, pa tudi v dejavnostih špedicije in pretovarjanja. Na drugi strani pa </w:t>
      </w:r>
      <w:r w:rsidR="008B51F5">
        <w:rPr>
          <w:bCs/>
        </w:rPr>
        <w:t xml:space="preserve">se </w:t>
      </w:r>
      <w:r>
        <w:rPr>
          <w:bCs/>
        </w:rPr>
        <w:t xml:space="preserve">je dodana vrednost </w:t>
      </w:r>
      <w:r w:rsidR="00B8019A">
        <w:rPr>
          <w:bCs/>
        </w:rPr>
        <w:t>v primerjavi z letom 2019 le malo, za par odstotkov</w:t>
      </w:r>
      <w:r w:rsidR="00F925D6">
        <w:rPr>
          <w:bCs/>
        </w:rPr>
        <w:t>,</w:t>
      </w:r>
      <w:r w:rsidR="00B8019A">
        <w:rPr>
          <w:bCs/>
        </w:rPr>
        <w:t xml:space="preserve"> povečala</w:t>
      </w:r>
      <w:r>
        <w:rPr>
          <w:bCs/>
        </w:rPr>
        <w:t xml:space="preserve"> </w:t>
      </w:r>
      <w:r w:rsidR="008B51F5">
        <w:rPr>
          <w:bCs/>
        </w:rPr>
        <w:t xml:space="preserve">v </w:t>
      </w:r>
      <w:r>
        <w:rPr>
          <w:bCs/>
        </w:rPr>
        <w:t xml:space="preserve">spremljajočih storitvenih dejavnostih v kopenskem </w:t>
      </w:r>
      <w:r w:rsidR="00B22CFA">
        <w:rPr>
          <w:bCs/>
        </w:rPr>
        <w:t xml:space="preserve">in zračnem </w:t>
      </w:r>
      <w:r>
        <w:rPr>
          <w:bCs/>
        </w:rPr>
        <w:t>prometu</w:t>
      </w:r>
      <w:r w:rsidRPr="00C845A7">
        <w:rPr>
          <w:bCs/>
        </w:rPr>
        <w:t>.</w:t>
      </w:r>
    </w:p>
    <w:p w14:paraId="63B63C99" w14:textId="57B1EAB3" w:rsidR="002D4B8B" w:rsidRPr="00355D96" w:rsidRDefault="002D4B8B" w:rsidP="002D4B8B">
      <w:pPr>
        <w:pStyle w:val="Napis"/>
        <w:rPr>
          <w:rStyle w:val="DZBesediloChar"/>
          <w:szCs w:val="20"/>
        </w:rPr>
      </w:pPr>
      <w:r w:rsidRPr="007374DA">
        <w:t xml:space="preserve">Slika </w:t>
      </w:r>
      <w:r w:rsidRPr="007374DA">
        <w:fldChar w:fldCharType="begin"/>
      </w:r>
      <w:r w:rsidRPr="007374DA">
        <w:instrText xml:space="preserve"> SEQ Slika \* ARABIC </w:instrText>
      </w:r>
      <w:r w:rsidRPr="007374DA">
        <w:fldChar w:fldCharType="separate"/>
      </w:r>
      <w:r w:rsidRPr="007374DA">
        <w:t>1</w:t>
      </w:r>
      <w:r w:rsidRPr="007374DA">
        <w:fldChar w:fldCharType="end"/>
      </w:r>
      <w:r w:rsidRPr="007374DA">
        <w:rPr>
          <w:rStyle w:val="DZBesediloChar"/>
          <w:szCs w:val="20"/>
        </w:rPr>
        <w:t>: V letu 202</w:t>
      </w:r>
      <w:r w:rsidR="00B356EF" w:rsidRPr="007374DA">
        <w:rPr>
          <w:rStyle w:val="DZBesediloChar"/>
          <w:szCs w:val="20"/>
        </w:rPr>
        <w:t>3</w:t>
      </w:r>
      <w:r w:rsidRPr="007374DA">
        <w:rPr>
          <w:rStyle w:val="DZBesediloChar"/>
          <w:szCs w:val="20"/>
        </w:rPr>
        <w:t xml:space="preserve"> </w:t>
      </w:r>
      <w:r w:rsidR="00B356EF" w:rsidRPr="007374DA">
        <w:rPr>
          <w:rStyle w:val="DZBesediloChar"/>
          <w:szCs w:val="20"/>
        </w:rPr>
        <w:t xml:space="preserve">v prometu </w:t>
      </w:r>
      <w:r w:rsidR="00BF01D0" w:rsidRPr="007374DA">
        <w:rPr>
          <w:rStyle w:val="DZBesediloChar"/>
          <w:szCs w:val="20"/>
        </w:rPr>
        <w:t xml:space="preserve">niso povečali </w:t>
      </w:r>
      <w:r w:rsidRPr="007374DA">
        <w:rPr>
          <w:rStyle w:val="DZBesediloChar"/>
          <w:szCs w:val="20"/>
        </w:rPr>
        <w:t xml:space="preserve">neto </w:t>
      </w:r>
      <w:r w:rsidR="00B356EF" w:rsidRPr="007374DA">
        <w:rPr>
          <w:rStyle w:val="DZBesediloChar"/>
          <w:szCs w:val="20"/>
        </w:rPr>
        <w:t xml:space="preserve">čistega </w:t>
      </w:r>
      <w:r w:rsidRPr="007374DA">
        <w:rPr>
          <w:rStyle w:val="DZBesediloChar"/>
          <w:szCs w:val="20"/>
        </w:rPr>
        <w:t>dobičk</w:t>
      </w:r>
      <w:r w:rsidR="00B356EF" w:rsidRPr="007374DA">
        <w:rPr>
          <w:rStyle w:val="DZBesediloChar"/>
          <w:szCs w:val="20"/>
        </w:rPr>
        <w:t>a</w:t>
      </w:r>
      <w:r w:rsidR="00BF01D0" w:rsidRPr="007374DA">
        <w:rPr>
          <w:rStyle w:val="DZBesediloChar"/>
          <w:szCs w:val="20"/>
        </w:rPr>
        <w:t>,</w:t>
      </w:r>
      <w:r w:rsidRPr="007374DA">
        <w:rPr>
          <w:rStyle w:val="DZBesediloChar"/>
          <w:szCs w:val="20"/>
        </w:rPr>
        <w:t xml:space="preserve"> </w:t>
      </w:r>
      <w:r w:rsidR="00BF01D0" w:rsidRPr="007374DA">
        <w:rPr>
          <w:rStyle w:val="DZBesediloChar"/>
          <w:szCs w:val="20"/>
        </w:rPr>
        <w:t>največ</w:t>
      </w:r>
      <w:r w:rsidR="00177222" w:rsidRPr="007374DA">
        <w:rPr>
          <w:rStyle w:val="DZBesediloChar"/>
          <w:szCs w:val="20"/>
        </w:rPr>
        <w:t>ji</w:t>
      </w:r>
      <w:r w:rsidR="00BF01D0" w:rsidRPr="007374DA">
        <w:rPr>
          <w:rStyle w:val="DZBesediloChar"/>
          <w:szCs w:val="20"/>
        </w:rPr>
        <w:t xml:space="preserve"> pa </w:t>
      </w:r>
      <w:r w:rsidR="00177222" w:rsidRPr="007374DA">
        <w:rPr>
          <w:rStyle w:val="DZBesediloChar"/>
          <w:szCs w:val="20"/>
        </w:rPr>
        <w:t>je bil</w:t>
      </w:r>
      <w:r w:rsidRPr="007374DA">
        <w:rPr>
          <w:rStyle w:val="DZBesediloChar"/>
          <w:szCs w:val="20"/>
        </w:rPr>
        <w:t xml:space="preserve"> </w:t>
      </w:r>
      <w:r w:rsidR="00B356EF" w:rsidRPr="007374DA">
        <w:rPr>
          <w:rStyle w:val="DZBesediloChar"/>
          <w:szCs w:val="20"/>
        </w:rPr>
        <w:t xml:space="preserve">v </w:t>
      </w:r>
      <w:r w:rsidR="000A5C81" w:rsidRPr="007374DA">
        <w:rPr>
          <w:rStyle w:val="DZBesediloChar"/>
          <w:szCs w:val="20"/>
        </w:rPr>
        <w:t xml:space="preserve">spremljajočih storitvenih </w:t>
      </w:r>
      <w:r w:rsidR="00B356EF" w:rsidRPr="007374DA">
        <w:rPr>
          <w:rStyle w:val="DZBesediloChar"/>
          <w:szCs w:val="20"/>
        </w:rPr>
        <w:t>dejavnosti</w:t>
      </w:r>
      <w:r w:rsidR="000A5C81" w:rsidRPr="007374DA">
        <w:rPr>
          <w:rStyle w:val="DZBesediloChar"/>
          <w:szCs w:val="20"/>
        </w:rPr>
        <w:t>h kopenskega prometa (vključuje</w:t>
      </w:r>
      <w:r w:rsidR="00B356EF" w:rsidRPr="007374DA">
        <w:rPr>
          <w:rStyle w:val="DZBesediloChar"/>
          <w:szCs w:val="20"/>
        </w:rPr>
        <w:t xml:space="preserve"> DARS</w:t>
      </w:r>
      <w:r w:rsidR="000A5C81" w:rsidRPr="007374DA">
        <w:rPr>
          <w:rStyle w:val="DZBesediloChar"/>
          <w:szCs w:val="20"/>
        </w:rPr>
        <w:t>)</w:t>
      </w:r>
      <w:r w:rsidR="00177222" w:rsidRPr="007374DA">
        <w:rPr>
          <w:rStyle w:val="DZBesediloChar"/>
          <w:szCs w:val="20"/>
        </w:rPr>
        <w:t xml:space="preserve"> in</w:t>
      </w:r>
      <w:r w:rsidR="00B356EF" w:rsidRPr="007374DA">
        <w:rPr>
          <w:rStyle w:val="DZBesediloChar"/>
          <w:szCs w:val="20"/>
        </w:rPr>
        <w:t xml:space="preserve"> </w:t>
      </w:r>
      <w:r w:rsidRPr="007374DA">
        <w:rPr>
          <w:rStyle w:val="DZBesediloChar"/>
          <w:szCs w:val="20"/>
        </w:rPr>
        <w:t>v cestnem tovornem prometu</w:t>
      </w:r>
      <w:r>
        <w:rPr>
          <w:rStyle w:val="DZBesediloChar"/>
          <w:szCs w:val="20"/>
        </w:rPr>
        <w:t xml:space="preserve"> </w:t>
      </w:r>
    </w:p>
    <w:p w14:paraId="613FA8EC" w14:textId="69F9D241" w:rsidR="002D4B8B" w:rsidRPr="005732E6" w:rsidRDefault="00EF02B1" w:rsidP="00714F84">
      <w:pPr>
        <w:pStyle w:val="BesediloUMAR"/>
      </w:pPr>
      <w:r w:rsidRPr="00EF02B1">
        <w:rPr>
          <w:noProof/>
        </w:rPr>
        <w:drawing>
          <wp:inline distT="0" distB="0" distL="0" distR="0" wp14:anchorId="691D3562" wp14:editId="1E11F72D">
            <wp:extent cx="5759450" cy="2052320"/>
            <wp:effectExtent l="0" t="0" r="0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BF4A" w14:textId="0F43895A" w:rsidR="002D4B8B" w:rsidRDefault="002D4B8B" w:rsidP="00BF7D89">
      <w:pPr>
        <w:pStyle w:val="VirUMAR"/>
      </w:pPr>
      <w:bookmarkStart w:id="27" w:name="_Hlk109132995"/>
      <w:r w:rsidRPr="008F6BED">
        <w:lastRenderedPageBreak/>
        <w:t xml:space="preserve">Vir podatkov: </w:t>
      </w:r>
      <w:r>
        <w:fldChar w:fldCharType="begin"/>
      </w:r>
      <w:r>
        <w:instrText xml:space="preserve"> ADDIN ZOTERO_ITEM CSL_CITATION {"citationID":"WD1ujlRp","properties":{"formattedCitation":"(AJPES,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Pr="00B3524B">
        <w:t xml:space="preserve">AJPES </w:t>
      </w:r>
      <w:r>
        <w:t>(</w:t>
      </w:r>
      <w:r w:rsidRPr="00B3524B">
        <w:t>202</w:t>
      </w:r>
      <w:r w:rsidR="00E24CE8">
        <w:t>4</w:t>
      </w:r>
      <w:r w:rsidRPr="00B3524B">
        <w:t>)</w:t>
      </w:r>
      <w:r>
        <w:fldChar w:fldCharType="end"/>
      </w:r>
      <w:r w:rsidRPr="008F6BED">
        <w:t>, lastni izračuni.</w:t>
      </w:r>
      <w:bookmarkEnd w:id="27"/>
    </w:p>
    <w:p w14:paraId="5A2BE241" w14:textId="01269ED1" w:rsidR="00890A5E" w:rsidRDefault="00890A5E" w:rsidP="00890A5E">
      <w:pPr>
        <w:pStyle w:val="Napis"/>
        <w:rPr>
          <w:rStyle w:val="DZBesediloChar"/>
          <w:szCs w:val="20"/>
        </w:rPr>
      </w:pPr>
      <w:r w:rsidRPr="00355D96">
        <w:t xml:space="preserve">Tabela </w:t>
      </w:r>
      <w:r w:rsidRPr="00355D96">
        <w:fldChar w:fldCharType="begin"/>
      </w:r>
      <w:r w:rsidRPr="00355D96">
        <w:instrText xml:space="preserve"> SEQ Tabela \* ARABIC </w:instrText>
      </w:r>
      <w:r w:rsidRPr="00355D96">
        <w:fldChar w:fldCharType="separate"/>
      </w:r>
      <w:r w:rsidR="00B002B7">
        <w:t>1</w:t>
      </w:r>
      <w:r w:rsidRPr="00355D96">
        <w:fldChar w:fldCharType="end"/>
      </w:r>
      <w:r w:rsidRPr="00355D96">
        <w:rPr>
          <w:rStyle w:val="DZBesediloChar"/>
          <w:szCs w:val="20"/>
        </w:rPr>
        <w:t xml:space="preserve">: Kazalniki poslovanja gospodarskih družb v dejavnosti </w:t>
      </w:r>
      <w:r>
        <w:rPr>
          <w:rStyle w:val="DZBesediloChar"/>
          <w:szCs w:val="20"/>
        </w:rPr>
        <w:t>promet in skladiščenje</w:t>
      </w:r>
      <w:r w:rsidRPr="00355D96">
        <w:rPr>
          <w:rStyle w:val="DZBesediloChar"/>
          <w:szCs w:val="20"/>
        </w:rPr>
        <w:t xml:space="preserve"> v izbranih letih</w:t>
      </w:r>
      <w:bookmarkEnd w:id="25"/>
    </w:p>
    <w:tbl>
      <w:tblPr>
        <w:tblStyle w:val="Tabelasvetlamrea"/>
        <w:tblW w:w="9070" w:type="dxa"/>
        <w:tblLayout w:type="fixed"/>
        <w:tblLook w:val="01E0" w:firstRow="1" w:lastRow="1" w:firstColumn="1" w:lastColumn="1" w:noHBand="0" w:noVBand="0"/>
      </w:tblPr>
      <w:tblGrid>
        <w:gridCol w:w="3481"/>
        <w:gridCol w:w="698"/>
        <w:gridCol w:w="699"/>
        <w:gridCol w:w="698"/>
        <w:gridCol w:w="699"/>
        <w:gridCol w:w="699"/>
        <w:gridCol w:w="698"/>
        <w:gridCol w:w="699"/>
        <w:gridCol w:w="699"/>
      </w:tblGrid>
      <w:tr w:rsidR="00FA3312" w:rsidRPr="00355D96" w14:paraId="5258E929" w14:textId="0AAD35EC" w:rsidTr="00FA3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6093C5AE" w14:textId="77777777" w:rsidR="00FA3312" w:rsidRPr="00355D96" w:rsidRDefault="00FA3312" w:rsidP="00FA3312">
            <w:pPr>
              <w:pStyle w:val="BesediloUMAR"/>
              <w:rPr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20139DE6" w14:textId="77777777" w:rsidR="00FA3312" w:rsidRPr="00355D96" w:rsidRDefault="00FA3312" w:rsidP="00FA3312">
            <w:pPr>
              <w:pStyle w:val="TabelaglavadesnoUMAR"/>
            </w:pPr>
            <w:r w:rsidRPr="00355D96">
              <w:t>2008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2B9D336F" w14:textId="77777777" w:rsidR="00FA3312" w:rsidRPr="00355D96" w:rsidRDefault="00FA3312" w:rsidP="00FA3312">
            <w:pPr>
              <w:pStyle w:val="TabelaglavadesnoUMAR"/>
            </w:pPr>
            <w:r w:rsidRPr="00355D96"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48CAE99D" w14:textId="77777777" w:rsidR="00FA3312" w:rsidRPr="00355D96" w:rsidRDefault="00FA3312" w:rsidP="00FA3312">
            <w:pPr>
              <w:pStyle w:val="TabelaglavadesnoUMAR"/>
            </w:pPr>
            <w:r w:rsidRPr="00355D96">
              <w:t>2015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2B710008" w14:textId="77777777" w:rsidR="00FA3312" w:rsidRPr="00355D96" w:rsidRDefault="00FA3312" w:rsidP="00FA3312">
            <w:pPr>
              <w:pStyle w:val="TabelaglavadesnoUMAR"/>
            </w:pPr>
            <w:r w:rsidRPr="00355D96"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291AFE23" w14:textId="77777777" w:rsidR="00FA3312" w:rsidRPr="00355D96" w:rsidRDefault="00FA3312" w:rsidP="00FA3312">
            <w:pPr>
              <w:pStyle w:val="TabelaglavadesnoUMAR"/>
            </w:pPr>
            <w:r w:rsidRPr="00355D96">
              <w:t>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0B944648" w14:textId="77777777" w:rsidR="00FA3312" w:rsidRPr="00355D96" w:rsidRDefault="00FA3312" w:rsidP="00FA3312">
            <w:pPr>
              <w:pStyle w:val="TabelaglavadesnoUMAR"/>
            </w:pPr>
            <w:r w:rsidRPr="00355D96"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4A3E9DD7" w14:textId="4A001352" w:rsidR="00FA3312" w:rsidRDefault="00FA3312" w:rsidP="00FA3312">
            <w:pPr>
              <w:pStyle w:val="TabelaglavadesnoUMAR"/>
            </w:pPr>
            <w: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31FA6432" w14:textId="235CD35C" w:rsidR="00FA3312" w:rsidRPr="00355D96" w:rsidRDefault="00FA3312" w:rsidP="00FA3312">
            <w:pPr>
              <w:pStyle w:val="TabelaglavadesnoUMAR"/>
            </w:pPr>
            <w:r>
              <w:t>202</w:t>
            </w:r>
            <w:r w:rsidR="00A52D2C">
              <w:t>3</w:t>
            </w:r>
          </w:p>
        </w:tc>
      </w:tr>
      <w:tr w:rsidR="00FA3312" w:rsidRPr="00355D96" w14:paraId="242005FB" w14:textId="6DE29440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37F59BCB" w14:textId="77777777" w:rsidR="00FA3312" w:rsidRPr="00355D96" w:rsidRDefault="00FA3312" w:rsidP="00FA3312">
            <w:pPr>
              <w:pStyle w:val="TabelalevoUMAR"/>
            </w:pPr>
            <w:r w:rsidRPr="00355D96">
              <w:t>Število gospodarskih družb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646682AD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2.253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BB00F13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2.506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3C3F18C8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3.225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5BA67211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3.792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B72E5F9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3.802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21ED353C" w14:textId="77777777" w:rsidR="00FA3312" w:rsidRPr="00355D96" w:rsidRDefault="00FA3312" w:rsidP="00FA3312">
            <w:pPr>
              <w:pStyle w:val="TabeladesnoUMAR"/>
            </w:pPr>
            <w:r>
              <w:t>3.784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5814C8E" w14:textId="7FF20082" w:rsidR="00FA3312" w:rsidRDefault="00FA3312" w:rsidP="00FA3312">
            <w:pPr>
              <w:pStyle w:val="TabeladesnoUMAR"/>
            </w:pPr>
            <w:r>
              <w:t>3.793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285E3D08" w14:textId="540682CF" w:rsidR="00FA3312" w:rsidRDefault="00FA3312" w:rsidP="00FA3312">
            <w:pPr>
              <w:pStyle w:val="TabeladesnoUMAR"/>
            </w:pPr>
            <w:r>
              <w:t>3.831</w:t>
            </w:r>
          </w:p>
        </w:tc>
      </w:tr>
      <w:tr w:rsidR="00FA3312" w:rsidRPr="00355D96" w14:paraId="56534747" w14:textId="42583765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7B923716" w14:textId="77777777" w:rsidR="00FA3312" w:rsidRPr="00355D96" w:rsidRDefault="00FA3312" w:rsidP="00FA3312">
            <w:pPr>
              <w:pStyle w:val="TabelalevoUMAR"/>
              <w:rPr>
                <w:vertAlign w:val="superscript"/>
              </w:rPr>
            </w:pPr>
            <w:r w:rsidRPr="00355D96">
              <w:t>Število zaposlenih</w:t>
            </w:r>
            <w:r w:rsidRPr="00355D96">
              <w:rPr>
                <w:vertAlign w:val="super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33583D1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37.557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5B2C0C4B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35.665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43E085E4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34.379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177D643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41.803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4079F9B4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41.528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226D4DED" w14:textId="77777777" w:rsidR="00FA3312" w:rsidRPr="00355D96" w:rsidRDefault="00FA3312" w:rsidP="00FA3312">
            <w:pPr>
              <w:pStyle w:val="TabeladesnoUMAR"/>
            </w:pPr>
            <w:r>
              <w:t>41.372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6204CB4" w14:textId="020A85A0" w:rsidR="00FA3312" w:rsidRDefault="00FA3312" w:rsidP="00FA3312">
            <w:pPr>
              <w:pStyle w:val="TabeladesnoUMAR"/>
            </w:pPr>
            <w:r>
              <w:t>42.329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4D51EF37" w14:textId="11F420D1" w:rsidR="00FA3312" w:rsidRDefault="00FA3312" w:rsidP="00FA3312">
            <w:pPr>
              <w:pStyle w:val="TabeladesnoUMAR"/>
            </w:pPr>
            <w:r>
              <w:t>43.156</w:t>
            </w:r>
          </w:p>
        </w:tc>
      </w:tr>
      <w:tr w:rsidR="00FA3312" w:rsidRPr="00355D96" w14:paraId="6F67559D" w14:textId="5B52DC6F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53E241E3" w14:textId="77777777" w:rsidR="00FA3312" w:rsidRPr="00355D96" w:rsidRDefault="00FA3312" w:rsidP="00FA3312">
            <w:pPr>
              <w:pStyle w:val="TabelalevoUMAR"/>
            </w:pPr>
            <w:r w:rsidRPr="00355D96">
              <w:t>Delež zaposlenih v vseh družbah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2A068C2A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7,4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583BF3E9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7,7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0F09048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7,7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67FF11BE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3F58A567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8,1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46CE322A" w14:textId="77777777" w:rsidR="00FA3312" w:rsidRPr="00355D96" w:rsidRDefault="00FA3312" w:rsidP="00FA3312">
            <w:pPr>
              <w:pStyle w:val="TabeladesnoUMAR"/>
            </w:pPr>
            <w:r>
              <w:t>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0FE93E7E" w14:textId="68B4EB1E" w:rsidR="00FA3312" w:rsidRDefault="00FA3312" w:rsidP="00FA3312">
            <w:pPr>
              <w:pStyle w:val="TabeladesnoUMAR"/>
            </w:pPr>
            <w:r>
              <w:t>7,9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14DF64CB" w14:textId="302B8064" w:rsidR="00FA3312" w:rsidRDefault="00FA3312" w:rsidP="00FA3312">
            <w:pPr>
              <w:pStyle w:val="TabeladesnoUMAR"/>
            </w:pPr>
            <w:r>
              <w:t>7,9</w:t>
            </w:r>
          </w:p>
        </w:tc>
      </w:tr>
      <w:tr w:rsidR="00FA3312" w:rsidRPr="00355D96" w14:paraId="721873B6" w14:textId="592A8AC0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6A4C5880" w14:textId="77777777" w:rsidR="00FA3312" w:rsidRPr="00355D96" w:rsidRDefault="00FA3312" w:rsidP="00FA3312">
            <w:pPr>
              <w:pStyle w:val="TabelalevoUMAR"/>
            </w:pPr>
            <w:r w:rsidRPr="00355D96">
              <w:t>Delež dodane vrednosti v vseh družbah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0DEC1912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7,3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358A709A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1B0E8C1B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9,2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18219837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9,2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BD9367E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8,7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370C68AD" w14:textId="77777777" w:rsidR="00FA3312" w:rsidRPr="00355D96" w:rsidRDefault="00FA3312" w:rsidP="00FA3312">
            <w:pPr>
              <w:pStyle w:val="TabeladesnoUMAR"/>
            </w:pPr>
            <w:r>
              <w:t>8,3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AD13E30" w14:textId="7FACCD3E" w:rsidR="00FA3312" w:rsidRDefault="00FA3312" w:rsidP="00FA3312">
            <w:pPr>
              <w:pStyle w:val="TabeladesnoUMAR"/>
            </w:pPr>
            <w:r>
              <w:t>9,0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5019BAC5" w14:textId="2D4D49CD" w:rsidR="00FA3312" w:rsidRDefault="00A52D2C" w:rsidP="00FA3312">
            <w:pPr>
              <w:pStyle w:val="TabeladesnoUMAR"/>
            </w:pPr>
            <w:r>
              <w:t>8</w:t>
            </w:r>
            <w:r w:rsidR="00FA3312">
              <w:t>,</w:t>
            </w:r>
            <w:r>
              <w:t>6</w:t>
            </w:r>
          </w:p>
        </w:tc>
      </w:tr>
      <w:tr w:rsidR="00FA3312" w:rsidRPr="00355D96" w14:paraId="09E3AA69" w14:textId="061EFB4D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2F1BF62B" w14:textId="77777777" w:rsidR="00FA3312" w:rsidRPr="00355D96" w:rsidRDefault="00FA3312" w:rsidP="00FA3312">
            <w:pPr>
              <w:pStyle w:val="TabelalevoUMAR"/>
            </w:pPr>
            <w:r w:rsidRPr="00355D96">
              <w:t>Neto</w:t>
            </w:r>
            <w:r w:rsidRPr="00355D96">
              <w:rPr>
                <w:vertAlign w:val="superscript"/>
              </w:rPr>
              <w:t>2</w:t>
            </w:r>
            <w:r w:rsidRPr="00355D96">
              <w:t xml:space="preserve"> čisti dobiček/izguba (v mio 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5EBF9C92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109,9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77E67BC8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-21,8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60279354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140,2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694BD81A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394,4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DAE4E71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197,0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4303F53B" w14:textId="77777777" w:rsidR="00FA3312" w:rsidRPr="00355D96" w:rsidRDefault="00FA3312" w:rsidP="00FA3312">
            <w:pPr>
              <w:pStyle w:val="TabeladesnoUMAR"/>
            </w:pPr>
            <w:r>
              <w:t>350,6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33D53334" w14:textId="234AB138" w:rsidR="00FA3312" w:rsidRDefault="00FA3312" w:rsidP="00FA3312">
            <w:pPr>
              <w:pStyle w:val="TabeladesnoUMAR"/>
            </w:pPr>
            <w:r>
              <w:t>550,2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6D9B6361" w14:textId="369BB2EF" w:rsidR="00FA3312" w:rsidRDefault="00FA3312" w:rsidP="00FA3312">
            <w:pPr>
              <w:pStyle w:val="TabeladesnoUMAR"/>
            </w:pPr>
            <w:r>
              <w:t>5</w:t>
            </w:r>
            <w:r w:rsidR="00A52D2C">
              <w:t>47</w:t>
            </w:r>
            <w:r>
              <w:t>,</w:t>
            </w:r>
            <w:r w:rsidR="00A52D2C">
              <w:t>9</w:t>
            </w:r>
          </w:p>
        </w:tc>
      </w:tr>
      <w:tr w:rsidR="00FA3312" w:rsidRPr="00355D96" w14:paraId="5991C550" w14:textId="7D407918" w:rsidTr="005F75A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2D728D79" w14:textId="151A30AE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VELIKOST</w:t>
            </w:r>
          </w:p>
        </w:tc>
      </w:tr>
      <w:tr w:rsidR="00FA3312" w:rsidRPr="00355D96" w14:paraId="5CC619A4" w14:textId="1EAA2942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484B81AD" w14:textId="77777777" w:rsidR="00FA3312" w:rsidRPr="00355D96" w:rsidRDefault="00FA3312" w:rsidP="00FA3312">
            <w:pPr>
              <w:pStyle w:val="TabelalevoUMAR"/>
            </w:pPr>
            <w:r w:rsidRPr="00355D96">
              <w:t>Sredstva/podjetje (v tisoč 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13BAAE1B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4.689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7BB5F6A1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4.195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0EC380DE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3.147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7D337A38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3.014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3AE4B1AD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2.968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72811316" w14:textId="77777777" w:rsidR="00FA3312" w:rsidRPr="00355D96" w:rsidRDefault="00FA3312" w:rsidP="00FA3312">
            <w:pPr>
              <w:pStyle w:val="TabeladesnoUMAR"/>
            </w:pPr>
            <w:r>
              <w:t>3.055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AA7DBA2" w14:textId="7BD559E6" w:rsidR="00FA3312" w:rsidRDefault="00FA3312" w:rsidP="00FA3312">
            <w:pPr>
              <w:pStyle w:val="TabeladesnoUMAR"/>
            </w:pPr>
            <w:r>
              <w:t>3.242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00FD9BB4" w14:textId="270CAE05" w:rsidR="00FA3312" w:rsidRDefault="00FA3312" w:rsidP="00FA3312">
            <w:pPr>
              <w:pStyle w:val="TabeladesnoUMAR"/>
            </w:pPr>
            <w:r>
              <w:t>3.</w:t>
            </w:r>
            <w:r w:rsidR="00A52D2C">
              <w:t>308</w:t>
            </w:r>
          </w:p>
        </w:tc>
      </w:tr>
      <w:tr w:rsidR="00FA3312" w:rsidRPr="00355D96" w14:paraId="21BC3C8E" w14:textId="1C4AE9E3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36D2A316" w14:textId="77777777" w:rsidR="00FA3312" w:rsidRPr="00355D96" w:rsidRDefault="00FA3312" w:rsidP="00FA3312">
            <w:pPr>
              <w:pStyle w:val="TabelalevoUMAR"/>
            </w:pPr>
            <w:r w:rsidRPr="00355D96">
              <w:t>Število zaposlenih/podjetje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49C75C28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16,7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00274A38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7E56F818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10,7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6978A1EF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3E947BB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10,9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3771BF14" w14:textId="77777777" w:rsidR="00FA3312" w:rsidRPr="00355D96" w:rsidRDefault="00FA3312" w:rsidP="00FA3312">
            <w:pPr>
              <w:pStyle w:val="TabeladesnoUMAR"/>
            </w:pPr>
            <w:r>
              <w:t>10,9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7D30C4B0" w14:textId="42E6D513" w:rsidR="00FA3312" w:rsidRDefault="00FA3312" w:rsidP="00FA3312">
            <w:pPr>
              <w:pStyle w:val="TabeladesnoUMAR"/>
            </w:pPr>
            <w:r>
              <w:t>11,2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00FB645D" w14:textId="476B9D6A" w:rsidR="00FA3312" w:rsidRDefault="00FA3312" w:rsidP="00FA3312">
            <w:pPr>
              <w:pStyle w:val="TabeladesnoUMAR"/>
            </w:pPr>
            <w:r>
              <w:t>11,</w:t>
            </w:r>
            <w:r w:rsidR="00A52D2C">
              <w:t>3</w:t>
            </w:r>
          </w:p>
        </w:tc>
      </w:tr>
      <w:tr w:rsidR="00FA3312" w:rsidRPr="00355D96" w14:paraId="3FCB286B" w14:textId="4745F9EC" w:rsidTr="005A140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6291A26C" w14:textId="52F69BA2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OPREMLJENOST DELA S SREDSTVI</w:t>
            </w:r>
          </w:p>
        </w:tc>
      </w:tr>
      <w:tr w:rsidR="00C70180" w:rsidRPr="00355D96" w14:paraId="1087EBDB" w14:textId="0810E21A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6FDA6157" w14:textId="77777777" w:rsidR="00C70180" w:rsidRPr="00355D96" w:rsidRDefault="00C70180" w:rsidP="0076625F">
            <w:pPr>
              <w:pStyle w:val="TabelalevoUMAR"/>
            </w:pPr>
            <w:r w:rsidRPr="00355D96">
              <w:t>Povprečna sredstva/zaposlenega (v tisoč 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27D549F5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269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3C82FF84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089137AF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294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611E80D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271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38000C65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272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74E85814" w14:textId="77777777" w:rsidR="00C70180" w:rsidRPr="00355D96" w:rsidRDefault="00C70180" w:rsidP="0076625F">
            <w:pPr>
              <w:pStyle w:val="TabeladesnoUMAR"/>
            </w:pPr>
            <w:r>
              <w:t>275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A7BFE79" w14:textId="43DC4833" w:rsidR="00C70180" w:rsidRDefault="00FA3312" w:rsidP="0076625F">
            <w:pPr>
              <w:pStyle w:val="TabeladesnoUMAR"/>
            </w:pPr>
            <w:r>
              <w:t>281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0ABEC342" w14:textId="638EA558" w:rsidR="00C70180" w:rsidRDefault="00C70180" w:rsidP="0076625F">
            <w:pPr>
              <w:pStyle w:val="TabeladesnoUMAR"/>
            </w:pPr>
            <w:r>
              <w:t>28</w:t>
            </w:r>
            <w:r w:rsidR="00A52D2C">
              <w:t>9</w:t>
            </w:r>
          </w:p>
        </w:tc>
      </w:tr>
      <w:tr w:rsidR="00FA3312" w:rsidRPr="00355D96" w14:paraId="682F550A" w14:textId="53557D36" w:rsidTr="00D36E8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11B17057" w14:textId="21DE2D31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GOSPODARNOST</w:t>
            </w:r>
          </w:p>
        </w:tc>
      </w:tr>
      <w:tr w:rsidR="00C70180" w:rsidRPr="00355D96" w14:paraId="1DBE38FF" w14:textId="5F2F6669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7ADE4183" w14:textId="77777777" w:rsidR="00C70180" w:rsidRPr="00355D96" w:rsidRDefault="00C70180" w:rsidP="0076625F">
            <w:pPr>
              <w:pStyle w:val="TabelalevoUMAR"/>
            </w:pPr>
            <w:r w:rsidRPr="00355D96">
              <w:t>Gospodarnost poslovanja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3B843979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1,047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5A9DAC99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1,045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6DF35B05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1,058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2BF7CF2C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1,090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CD3844E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1,053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39877C74" w14:textId="77777777" w:rsidR="00C70180" w:rsidRPr="00355D96" w:rsidRDefault="00C70180" w:rsidP="0076625F">
            <w:pPr>
              <w:pStyle w:val="TabeladesnoUMAR"/>
            </w:pPr>
            <w:r>
              <w:t>1,074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6315BCD2" w14:textId="3977C604" w:rsidR="00C70180" w:rsidRDefault="00FA3312" w:rsidP="0076625F">
            <w:pPr>
              <w:pStyle w:val="TabeladesnoUMAR"/>
            </w:pPr>
            <w:r>
              <w:t>1,093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3878BBD0" w14:textId="6A933D28" w:rsidR="00C70180" w:rsidRDefault="00C70180" w:rsidP="0076625F">
            <w:pPr>
              <w:pStyle w:val="TabeladesnoUMAR"/>
            </w:pPr>
            <w:r>
              <w:t>1,09</w:t>
            </w:r>
            <w:r w:rsidR="00A52D2C">
              <w:t>4</w:t>
            </w:r>
          </w:p>
        </w:tc>
      </w:tr>
      <w:tr w:rsidR="00FA3312" w:rsidRPr="00355D96" w14:paraId="1FA1A5D1" w14:textId="0AC9E319" w:rsidTr="00D6572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7E19E2F6" w14:textId="53F9BFC5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DONOSNOST</w:t>
            </w:r>
          </w:p>
        </w:tc>
      </w:tr>
      <w:tr w:rsidR="00FA3312" w:rsidRPr="00355D96" w14:paraId="37EC888F" w14:textId="4224F000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176312F4" w14:textId="77777777" w:rsidR="00FA3312" w:rsidRPr="00355D96" w:rsidRDefault="00FA3312" w:rsidP="00FA3312">
            <w:pPr>
              <w:pStyle w:val="TabelalevoUMAR"/>
            </w:pPr>
            <w:r w:rsidRPr="00355D96">
              <w:t>Donosnost sredstev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4EDACDD1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3B16A717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-0,2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6F14E0DD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0F037161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22149B8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2215C328" w14:textId="77777777" w:rsidR="00FA3312" w:rsidRPr="00355D96" w:rsidRDefault="00FA3312" w:rsidP="00FA3312">
            <w:pPr>
              <w:pStyle w:val="TabeladesnoUMAR"/>
            </w:pPr>
            <w:r>
              <w:t>3,1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27A2C54A" w14:textId="268FE255" w:rsidR="00FA3312" w:rsidRDefault="00FA3312" w:rsidP="00FA3312">
            <w:pPr>
              <w:pStyle w:val="TabeladesnoUMAR"/>
            </w:pPr>
            <w:r>
              <w:t>4,6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1E181AED" w14:textId="258FBE2E" w:rsidR="00FA3312" w:rsidRDefault="00FA3312" w:rsidP="00FA3312">
            <w:pPr>
              <w:pStyle w:val="TabeladesnoUMAR"/>
            </w:pPr>
            <w:r>
              <w:t>4,</w:t>
            </w:r>
            <w:r w:rsidR="00A52D2C">
              <w:t>4</w:t>
            </w:r>
          </w:p>
        </w:tc>
      </w:tr>
      <w:tr w:rsidR="00FA3312" w:rsidRPr="00355D96" w14:paraId="7AEB3BE4" w14:textId="1DCDB14B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083FA42E" w14:textId="77777777" w:rsidR="00FA3312" w:rsidRPr="00355D96" w:rsidRDefault="00FA3312" w:rsidP="00FA3312">
            <w:pPr>
              <w:pStyle w:val="TabelalevoUMAR"/>
            </w:pPr>
            <w:r w:rsidRPr="00355D96">
              <w:t>Donosnost prihodkov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0C8A1E1B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29B1976D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-0,6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1D0AEB1E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6EAB26B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34CB8884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3,4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7F40FB07" w14:textId="77777777" w:rsidR="00FA3312" w:rsidRPr="00355D96" w:rsidRDefault="00FA3312" w:rsidP="00FA3312">
            <w:pPr>
              <w:pStyle w:val="TabeladesnoUMAR"/>
            </w:pPr>
            <w:r>
              <w:t>5,2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425CEE8C" w14:textId="78EAB044" w:rsidR="00FA3312" w:rsidRDefault="00FA3312" w:rsidP="00FA3312">
            <w:pPr>
              <w:pStyle w:val="TabeladesnoUMAR"/>
            </w:pPr>
            <w:r>
              <w:t>6,9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771750C0" w14:textId="2A776B52" w:rsidR="00FA3312" w:rsidRDefault="00FA3312" w:rsidP="00FA3312">
            <w:pPr>
              <w:pStyle w:val="TabeladesnoUMAR"/>
            </w:pPr>
            <w:r>
              <w:t>6,9</w:t>
            </w:r>
          </w:p>
        </w:tc>
      </w:tr>
      <w:tr w:rsidR="00FA3312" w:rsidRPr="00355D96" w14:paraId="2EB32C91" w14:textId="5481D307" w:rsidTr="00E47A0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1389A85C" w14:textId="02384ED3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PRODUKTIVNOST</w:t>
            </w:r>
          </w:p>
        </w:tc>
      </w:tr>
      <w:tr w:rsidR="00C70180" w:rsidRPr="00355D96" w14:paraId="1DDC7D77" w14:textId="230C8BB8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2AC18880" w14:textId="77777777" w:rsidR="00C70180" w:rsidRPr="00355D96" w:rsidRDefault="00C70180" w:rsidP="0076625F">
            <w:pPr>
              <w:pStyle w:val="TabelalevoUMAR"/>
            </w:pPr>
            <w:r w:rsidRPr="00355D96">
              <w:t>Dodana vrednost/zaposlenega (v 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5D9E5776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35.153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1E8E3637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40.503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50C2A87B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48.745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56C661FB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53.541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3A9B839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50.222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710D149B" w14:textId="77777777" w:rsidR="00C70180" w:rsidRPr="00355D96" w:rsidRDefault="00C70180" w:rsidP="0076625F">
            <w:pPr>
              <w:pStyle w:val="TabeladesnoUMAR"/>
            </w:pPr>
            <w:r>
              <w:t>55.652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0690DB41" w14:textId="298850B5" w:rsidR="00C70180" w:rsidRDefault="00FA3312" w:rsidP="0076625F">
            <w:pPr>
              <w:pStyle w:val="TabeladesnoUMAR"/>
            </w:pPr>
            <w:r>
              <w:t>63.061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3358D175" w14:textId="41345D81" w:rsidR="00C70180" w:rsidRDefault="00C70180" w:rsidP="0076625F">
            <w:pPr>
              <w:pStyle w:val="TabeladesnoUMAR"/>
            </w:pPr>
            <w:r>
              <w:t>6</w:t>
            </w:r>
            <w:r w:rsidR="00A52D2C">
              <w:t>6</w:t>
            </w:r>
            <w:r>
              <w:t>.</w:t>
            </w:r>
            <w:r w:rsidR="00A52D2C">
              <w:t>249</w:t>
            </w:r>
          </w:p>
        </w:tc>
      </w:tr>
      <w:tr w:rsidR="00FA3312" w:rsidRPr="00355D96" w14:paraId="7C40AE21" w14:textId="71685782" w:rsidTr="004F42A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4AF2068B" w14:textId="7E380D6C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STROŠKI DELA</w:t>
            </w:r>
          </w:p>
        </w:tc>
      </w:tr>
      <w:tr w:rsidR="00FA3312" w:rsidRPr="00355D96" w14:paraId="251615FC" w14:textId="41F1E720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58651336" w14:textId="77777777" w:rsidR="00FA3312" w:rsidRPr="00355D96" w:rsidRDefault="00FA3312" w:rsidP="00FA3312">
            <w:pPr>
              <w:pStyle w:val="TabelalevoUMAR"/>
            </w:pPr>
            <w:r w:rsidRPr="00355D96">
              <w:t>Stroški dela/zaposlenega (v 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389ED5C2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23.003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07B56D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23.599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56BEFDAC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25.059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7816969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26.160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59BCFF0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26.696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1584DCC4" w14:textId="77777777" w:rsidR="00FA3312" w:rsidRPr="00355D96" w:rsidRDefault="00FA3312" w:rsidP="00FA3312">
            <w:pPr>
              <w:pStyle w:val="TabeladesnoUMAR"/>
            </w:pPr>
            <w:r>
              <w:t>28.127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7F5BF823" w14:textId="3447027B" w:rsidR="00FA3312" w:rsidRDefault="00FA3312" w:rsidP="00FA3312">
            <w:pPr>
              <w:pStyle w:val="TabeladesnoUMAR"/>
            </w:pPr>
            <w:r>
              <w:t>30.815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783C8E4A" w14:textId="73A768A1" w:rsidR="00FA3312" w:rsidRDefault="00FA3312" w:rsidP="00FA3312">
            <w:pPr>
              <w:pStyle w:val="TabeladesnoUMAR"/>
            </w:pPr>
            <w:r>
              <w:t>3</w:t>
            </w:r>
            <w:r w:rsidR="00A52D2C">
              <w:t>3</w:t>
            </w:r>
            <w:r>
              <w:t>.8</w:t>
            </w:r>
            <w:r w:rsidR="00A52D2C">
              <w:t>32</w:t>
            </w:r>
          </w:p>
        </w:tc>
      </w:tr>
      <w:tr w:rsidR="00FA3312" w:rsidRPr="00355D96" w14:paraId="051BEAFC" w14:textId="462B9AA7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5B5622A9" w14:textId="77777777" w:rsidR="00FA3312" w:rsidRPr="00355D96" w:rsidRDefault="00FA3312" w:rsidP="00FA3312">
            <w:pPr>
              <w:pStyle w:val="TabelalevoUMAR"/>
            </w:pPr>
            <w:r w:rsidRPr="00355D96">
              <w:t>Delež stroškov dela v dodani vrednosti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127C9D7E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65,4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51B2940F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58,3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4AE6E083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51,4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163FCBFF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48,9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2881B747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53,2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1360D6C4" w14:textId="77777777" w:rsidR="00FA3312" w:rsidRPr="00355D96" w:rsidRDefault="00FA3312" w:rsidP="00FA3312">
            <w:pPr>
              <w:pStyle w:val="TabeladesnoUMAR"/>
            </w:pPr>
            <w:r>
              <w:t>50,5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5073377" w14:textId="2336E707" w:rsidR="00FA3312" w:rsidRDefault="00FA3312" w:rsidP="00FA3312">
            <w:pPr>
              <w:pStyle w:val="TabeladesnoUMAR"/>
            </w:pPr>
            <w:r>
              <w:t>48,9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11D8D68E" w14:textId="09DEBAD6" w:rsidR="00FA3312" w:rsidRDefault="00A52D2C" w:rsidP="00FA3312">
            <w:pPr>
              <w:pStyle w:val="TabeladesnoUMAR"/>
            </w:pPr>
            <w:r>
              <w:t>51</w:t>
            </w:r>
            <w:r w:rsidR="00FA3312">
              <w:t>,</w:t>
            </w:r>
            <w:r>
              <w:t>1</w:t>
            </w:r>
          </w:p>
        </w:tc>
      </w:tr>
      <w:tr w:rsidR="00FA3312" w:rsidRPr="00355D96" w14:paraId="2C190B1E" w14:textId="46ABCFEA" w:rsidTr="009465C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4854250A" w14:textId="504E09A3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FINANCIRANJE IN PLAČILNA SPOSOBNOST</w:t>
            </w:r>
          </w:p>
        </w:tc>
      </w:tr>
      <w:tr w:rsidR="00FA3312" w:rsidRPr="00355D96" w14:paraId="64DDD519" w14:textId="5F1DD316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57CC362B" w14:textId="77777777" w:rsidR="00FA3312" w:rsidRPr="00355D96" w:rsidRDefault="00FA3312" w:rsidP="00FA3312">
            <w:pPr>
              <w:pStyle w:val="TabelalevoUMAR"/>
            </w:pPr>
            <w:r w:rsidRPr="00355D96">
              <w:t>Delež dolga v virih sredstev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5046F94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82,2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DD5AA40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58,8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18F13F74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51,3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7A1C15AF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46,4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2278E4E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44,5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12F1E4A9" w14:textId="77777777" w:rsidR="00FA3312" w:rsidRPr="00355D96" w:rsidRDefault="00FA3312" w:rsidP="00FA3312">
            <w:pPr>
              <w:pStyle w:val="TabeladesnoUMAR"/>
            </w:pPr>
            <w:r>
              <w:t>43,0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470291B6" w14:textId="2241D862" w:rsidR="00FA3312" w:rsidRDefault="00FA3312" w:rsidP="00FA3312">
            <w:pPr>
              <w:pStyle w:val="TabeladesnoUMAR"/>
            </w:pPr>
            <w:r>
              <w:t>41,4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1637E6C2" w14:textId="52ACC8B0" w:rsidR="00FA3312" w:rsidRDefault="00A52D2C" w:rsidP="00FA3312">
            <w:pPr>
              <w:pStyle w:val="TabeladesnoUMAR"/>
            </w:pPr>
            <w:r>
              <w:t>39</w:t>
            </w:r>
            <w:r w:rsidR="00FA3312">
              <w:t>,</w:t>
            </w:r>
            <w:r>
              <w:t>6</w:t>
            </w:r>
          </w:p>
        </w:tc>
      </w:tr>
      <w:tr w:rsidR="00FA3312" w:rsidRPr="00355D96" w14:paraId="47B27E89" w14:textId="799C6C4D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2D4518A5" w14:textId="77777777" w:rsidR="00FA3312" w:rsidRPr="00355D96" w:rsidRDefault="00FA3312" w:rsidP="00FA3312">
            <w:pPr>
              <w:pStyle w:val="TabelalevoUMAR"/>
            </w:pPr>
            <w:r w:rsidRPr="00355D96">
              <w:t xml:space="preserve">Delež </w:t>
            </w:r>
            <w:proofErr w:type="spellStart"/>
            <w:r w:rsidRPr="00355D96">
              <w:t>kratk</w:t>
            </w:r>
            <w:proofErr w:type="spellEnd"/>
            <w:r w:rsidRPr="00355D96">
              <w:t>. obveznosti v virih sredstev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4ECF2F62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15,6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7D599A57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7182F057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15,6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74B39CF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2BF58BF3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14,5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0606A347" w14:textId="77777777" w:rsidR="00FA3312" w:rsidRPr="00355D96" w:rsidRDefault="00FA3312" w:rsidP="00FA3312">
            <w:pPr>
              <w:pStyle w:val="TabeladesnoUMAR"/>
            </w:pPr>
            <w:r>
              <w:t>15,2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42D44026" w14:textId="5316F97F" w:rsidR="00FA3312" w:rsidRDefault="00FA3312" w:rsidP="00FA3312">
            <w:pPr>
              <w:pStyle w:val="TabeladesnoUMAR"/>
            </w:pPr>
            <w:r>
              <w:t>16,0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00F3BF49" w14:textId="7E7606D6" w:rsidR="00FA3312" w:rsidRDefault="00FA3312" w:rsidP="00FA3312">
            <w:pPr>
              <w:pStyle w:val="TabeladesnoUMAR"/>
            </w:pPr>
            <w:r>
              <w:t>16,</w:t>
            </w:r>
            <w:r w:rsidR="00A52D2C">
              <w:t>2</w:t>
            </w:r>
          </w:p>
        </w:tc>
      </w:tr>
      <w:tr w:rsidR="00FA3312" w:rsidRPr="00355D96" w14:paraId="6BF776CB" w14:textId="21FE09FF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25AD19E6" w14:textId="77777777" w:rsidR="00FA3312" w:rsidRPr="00355D96" w:rsidRDefault="00FA3312" w:rsidP="00FA3312">
            <w:pPr>
              <w:pStyle w:val="TabelalevoUMAR"/>
            </w:pPr>
            <w:r w:rsidRPr="00355D96">
              <w:t>Kapitalska pokritost dolg. sredstev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7CC75502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20,6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0615205F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49,8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73878CB0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60,1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322D3446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69,6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0B3B307C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73,7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78BFAA5C" w14:textId="77777777" w:rsidR="00FA3312" w:rsidRPr="00355D96" w:rsidRDefault="00FA3312" w:rsidP="00FA3312">
            <w:pPr>
              <w:pStyle w:val="TabeladesnoUMAR"/>
            </w:pPr>
            <w:r>
              <w:t>77,2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EBA9B7C" w14:textId="336E6B6F" w:rsidR="00FA3312" w:rsidRDefault="00FA3312" w:rsidP="00FA3312">
            <w:pPr>
              <w:pStyle w:val="TabeladesnoUMAR"/>
            </w:pPr>
            <w:r>
              <w:t>81,2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29D23123" w14:textId="07B3533B" w:rsidR="00FA3312" w:rsidRDefault="00FA3312" w:rsidP="00FA3312">
            <w:pPr>
              <w:pStyle w:val="TabeladesnoUMAR"/>
            </w:pPr>
            <w:r>
              <w:t>8</w:t>
            </w:r>
            <w:r w:rsidR="00A52D2C">
              <w:t>3</w:t>
            </w:r>
            <w:r>
              <w:t>,</w:t>
            </w:r>
            <w:r w:rsidR="00A52D2C">
              <w:t>0</w:t>
            </w:r>
          </w:p>
        </w:tc>
      </w:tr>
      <w:tr w:rsidR="00FA3312" w:rsidRPr="00355D96" w14:paraId="6E6B7554" w14:textId="7FB3E537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0F952ED4" w14:textId="77777777" w:rsidR="00FA3312" w:rsidRPr="00355D96" w:rsidRDefault="00FA3312" w:rsidP="00FA3312">
            <w:pPr>
              <w:pStyle w:val="TabelalevoUMAR"/>
            </w:pPr>
            <w:r w:rsidRPr="00355D96">
              <w:t>Dolg. pokritost dolg. sredstev in zalog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69322FD6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96,4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562271E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98,8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618385D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0DB237B7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104,7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09101A36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108,2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49CA3BF8" w14:textId="77777777" w:rsidR="00FA3312" w:rsidRPr="00355D96" w:rsidRDefault="00FA3312" w:rsidP="00FA3312">
            <w:pPr>
              <w:pStyle w:val="TabeladesnoUMAR"/>
            </w:pPr>
            <w:r>
              <w:t>109,5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268AC58C" w14:textId="2E1C4330" w:rsidR="00FA3312" w:rsidRDefault="00FA3312" w:rsidP="00FA3312">
            <w:pPr>
              <w:pStyle w:val="TabeladesnoUMAR"/>
            </w:pPr>
            <w:r>
              <w:t>110,3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336D5AD7" w14:textId="68101533" w:rsidR="00FA3312" w:rsidRDefault="00FA3312" w:rsidP="00FA3312">
            <w:pPr>
              <w:pStyle w:val="TabeladesnoUMAR"/>
            </w:pPr>
            <w:r>
              <w:t>1</w:t>
            </w:r>
            <w:r w:rsidR="00A52D2C">
              <w:t>09</w:t>
            </w:r>
            <w:r>
              <w:t>,</w:t>
            </w:r>
            <w:r w:rsidR="00A52D2C">
              <w:t>0</w:t>
            </w:r>
          </w:p>
        </w:tc>
      </w:tr>
      <w:tr w:rsidR="00FA3312" w:rsidRPr="00355D96" w14:paraId="102A7A2E" w14:textId="0542C2E6" w:rsidTr="008E5AA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6D3BAE65" w14:textId="34C961A7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IZVOZNA USMERJENOST</w:t>
            </w:r>
          </w:p>
        </w:tc>
      </w:tr>
      <w:tr w:rsidR="00C70180" w:rsidRPr="00355D96" w14:paraId="52DB37A8" w14:textId="259E456A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489DF87F" w14:textId="77777777" w:rsidR="00C70180" w:rsidRPr="00355D96" w:rsidRDefault="00C70180" w:rsidP="0076625F">
            <w:pPr>
              <w:pStyle w:val="TabelalevoUMAR"/>
            </w:pPr>
            <w:r w:rsidRPr="00355D96">
              <w:t>Delež čistih prihodkov od prodaje na tujem trgu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6F530C68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42,8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600FDDAD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38,9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5BB82544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41,9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27A7F5D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46,5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7074EE92" w14:textId="77777777" w:rsidR="00C70180" w:rsidRPr="00355D96" w:rsidRDefault="00C70180" w:rsidP="0076625F">
            <w:pPr>
              <w:pStyle w:val="TabeladesnoUMAR"/>
            </w:pPr>
            <w:r w:rsidRPr="008137B9">
              <w:rPr>
                <w:noProof/>
              </w:rPr>
              <w:t>47,4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50F1446F" w14:textId="77777777" w:rsidR="00C70180" w:rsidRPr="00355D96" w:rsidRDefault="00C70180" w:rsidP="0076625F">
            <w:pPr>
              <w:pStyle w:val="TabeladesnoUMAR"/>
            </w:pPr>
            <w:r>
              <w:t>46,8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3A002526" w14:textId="631BF3F7" w:rsidR="00C70180" w:rsidRDefault="00FA3312" w:rsidP="0076625F">
            <w:pPr>
              <w:pStyle w:val="TabeladesnoUMAR"/>
            </w:pPr>
            <w:r>
              <w:t>48,2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43D9BC90" w14:textId="689ABDFC" w:rsidR="00C70180" w:rsidRDefault="00C70180" w:rsidP="0076625F">
            <w:pPr>
              <w:pStyle w:val="TabeladesnoUMAR"/>
            </w:pPr>
            <w:r>
              <w:t>4</w:t>
            </w:r>
            <w:r w:rsidR="00A52D2C">
              <w:t>7</w:t>
            </w:r>
            <w:r>
              <w:t>,</w:t>
            </w:r>
            <w:r w:rsidR="00A52D2C">
              <w:t>6</w:t>
            </w:r>
          </w:p>
        </w:tc>
      </w:tr>
      <w:tr w:rsidR="00FA3312" w:rsidRPr="00355D96" w14:paraId="0B53BCEC" w14:textId="1323BDFA" w:rsidTr="0077402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9"/>
          </w:tcPr>
          <w:p w14:paraId="5D3BD53E" w14:textId="329DECE9" w:rsidR="00FA3312" w:rsidRPr="008111CE" w:rsidRDefault="00FA3312" w:rsidP="0076625F">
            <w:pPr>
              <w:pStyle w:val="TabelalevoUMAR"/>
              <w:rPr>
                <w:b/>
                <w:bCs w:val="0"/>
              </w:rPr>
            </w:pPr>
            <w:r w:rsidRPr="008111CE">
              <w:rPr>
                <w:b/>
                <w:bCs w:val="0"/>
              </w:rPr>
              <w:t>STRUKTURA SREDSTEV</w:t>
            </w:r>
          </w:p>
        </w:tc>
      </w:tr>
      <w:tr w:rsidR="00FA3312" w:rsidRPr="00355D96" w14:paraId="56438E8C" w14:textId="5B7098EB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268350B3" w14:textId="77777777" w:rsidR="00FA3312" w:rsidRPr="00355D96" w:rsidRDefault="00FA3312" w:rsidP="00FA3312">
            <w:pPr>
              <w:pStyle w:val="TabelalevoUMAR"/>
            </w:pPr>
            <w:r w:rsidRPr="00355D96">
              <w:t>Delež dolg. sredstev v sredstvih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16BBA7E4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86,4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38248688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81,3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6C49EBCA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81,1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6AE7A329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77,1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36B429F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75,3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54E7A8CC" w14:textId="77777777" w:rsidR="00FA3312" w:rsidRPr="00355D96" w:rsidRDefault="00FA3312" w:rsidP="00FA3312">
            <w:pPr>
              <w:pStyle w:val="TabeladesnoUMAR"/>
            </w:pPr>
            <w:r>
              <w:t>73,8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04094852" w14:textId="7F8ABE7D" w:rsidR="00FA3312" w:rsidRDefault="00FA3312" w:rsidP="00FA3312">
            <w:pPr>
              <w:pStyle w:val="TabeladesnoUMAR"/>
            </w:pPr>
            <w:r>
              <w:t>72,2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09A750B5" w14:textId="62ABBA52" w:rsidR="00FA3312" w:rsidRDefault="00FA3312" w:rsidP="00FA3312">
            <w:pPr>
              <w:pStyle w:val="TabeladesnoUMAR"/>
            </w:pPr>
            <w:r>
              <w:t>72,</w:t>
            </w:r>
            <w:r w:rsidR="00A52D2C">
              <w:t>8</w:t>
            </w:r>
          </w:p>
        </w:tc>
      </w:tr>
      <w:tr w:rsidR="00FA3312" w:rsidRPr="00355D96" w14:paraId="1D99628E" w14:textId="72CFE15B" w:rsidTr="00FA33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78C07509" w14:textId="77777777" w:rsidR="00FA3312" w:rsidRPr="00355D96" w:rsidRDefault="00FA3312" w:rsidP="00FA3312">
            <w:pPr>
              <w:pStyle w:val="TabelalevoUMAR"/>
            </w:pPr>
            <w:r w:rsidRPr="00355D96">
              <w:t>Delež strojev in naprav ter druge opreme in naprav v dolgoročnih sredstvih (v 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0A56D4DB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12,5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40308F54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14:paraId="21F76515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12,5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9" w:type="dxa"/>
          </w:tcPr>
          <w:p w14:paraId="2AED88C2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16,9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75A441CE" w14:textId="77777777" w:rsidR="00FA3312" w:rsidRPr="00355D96" w:rsidRDefault="00FA3312" w:rsidP="00FA3312">
            <w:pPr>
              <w:pStyle w:val="TabeladesnoUMAR"/>
            </w:pPr>
            <w:r w:rsidRPr="008137B9">
              <w:rPr>
                <w:noProof/>
              </w:rPr>
              <w:t>16,9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dxa"/>
          </w:tcPr>
          <w:p w14:paraId="397D790B" w14:textId="77777777" w:rsidR="00FA3312" w:rsidRPr="00355D96" w:rsidRDefault="00FA3312" w:rsidP="00FA3312">
            <w:pPr>
              <w:pStyle w:val="TabeladesnoUMAR"/>
            </w:pPr>
            <w:r>
              <w:t>17,6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66B46D2A" w14:textId="38ED27CE" w:rsidR="00FA3312" w:rsidRDefault="00FA3312" w:rsidP="00FA3312">
            <w:pPr>
              <w:pStyle w:val="TabeladesnoUMAR"/>
            </w:pPr>
            <w:r>
              <w:t>20,4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" w:type="dxa"/>
          </w:tcPr>
          <w:p w14:paraId="2C054357" w14:textId="3A42DDC0" w:rsidR="00FA3312" w:rsidRDefault="00FA3312" w:rsidP="00FA3312">
            <w:pPr>
              <w:pStyle w:val="TabeladesnoUMAR"/>
            </w:pPr>
            <w:r>
              <w:t>20,</w:t>
            </w:r>
            <w:r w:rsidR="00A52D2C">
              <w:t>9</w:t>
            </w:r>
          </w:p>
        </w:tc>
      </w:tr>
    </w:tbl>
    <w:p w14:paraId="2066A6F9" w14:textId="6D88699D" w:rsidR="00890A5E" w:rsidRDefault="00890A5E" w:rsidP="00890A5E">
      <w:pPr>
        <w:pStyle w:val="VirUMAR"/>
      </w:pPr>
      <w:r w:rsidRPr="008F6BED">
        <w:t xml:space="preserve">Vir podatkov: </w:t>
      </w:r>
      <w:r>
        <w:fldChar w:fldCharType="begin"/>
      </w:r>
      <w:r>
        <w:instrText xml:space="preserve"> ADDIN ZOTERO_ITEM CSL_CITATION {"citationID":"JW2lcBQk","properties":{"formattedCitation":"(AJPES,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Pr="00B3524B">
        <w:t xml:space="preserve">AJPES </w:t>
      </w:r>
      <w:r>
        <w:t>(</w:t>
      </w:r>
      <w:r w:rsidRPr="00B3524B">
        <w:t>202</w:t>
      </w:r>
      <w:r w:rsidR="00C70180">
        <w:t>4</w:t>
      </w:r>
      <w:r w:rsidRPr="00B3524B">
        <w:t>)</w:t>
      </w:r>
      <w:r>
        <w:fldChar w:fldCharType="end"/>
      </w:r>
      <w:r w:rsidRPr="008F6BED">
        <w:t>, lastni izračuni.</w:t>
      </w:r>
    </w:p>
    <w:p w14:paraId="1D205994" w14:textId="77777777" w:rsidR="00890A5E" w:rsidRPr="00355D96" w:rsidRDefault="00890A5E" w:rsidP="00890A5E">
      <w:pPr>
        <w:pStyle w:val="VirUMAR"/>
      </w:pPr>
      <w:r w:rsidRPr="008137B9">
        <w:rPr>
          <w:rStyle w:val="DZBesediloChar"/>
          <w:noProof/>
        </w:rPr>
        <w:t xml:space="preserve">Opombe: </w:t>
      </w:r>
      <w:r w:rsidRPr="008137B9">
        <w:rPr>
          <w:rStyle w:val="DZBesediloChar"/>
          <w:noProof/>
          <w:vertAlign w:val="superscript"/>
        </w:rPr>
        <w:t>1</w:t>
      </w:r>
      <w:r w:rsidRPr="008137B9">
        <w:rPr>
          <w:rStyle w:val="DZBesediloChar"/>
          <w:noProof/>
        </w:rPr>
        <w:t xml:space="preserve"> Podatki o številu zaposlenih pomenijo povprečno število zaposlen</w:t>
      </w:r>
      <w:r>
        <w:rPr>
          <w:rStyle w:val="DZBesediloChar"/>
          <w:noProof/>
        </w:rPr>
        <w:t>ih</w:t>
      </w:r>
      <w:r w:rsidRPr="008137B9">
        <w:rPr>
          <w:rStyle w:val="DZBesediloChar"/>
          <w:noProof/>
        </w:rPr>
        <w:t xml:space="preserve"> na podlagi delovnih ur v obračunskem obdobju in se zato razlikujejo od podatkov o številu zaposlenih, ki jih objavlja SURS. </w:t>
      </w:r>
      <w:r w:rsidRPr="008137B9">
        <w:rPr>
          <w:rStyle w:val="DZBesediloChar"/>
          <w:noProof/>
          <w:vertAlign w:val="superscript"/>
        </w:rPr>
        <w:t>2</w:t>
      </w:r>
      <w:r w:rsidRPr="008137B9">
        <w:rPr>
          <w:rStyle w:val="DZBesediloChar"/>
          <w:noProof/>
        </w:rPr>
        <w:t xml:space="preserve"> Razlika med čistim dobičkom in izgubo obračunskega obdobja.</w:t>
      </w:r>
    </w:p>
    <w:p w14:paraId="4D118560" w14:textId="77777777" w:rsidR="00890A5E" w:rsidRDefault="00890A5E" w:rsidP="003E627F">
      <w:pPr>
        <w:pStyle w:val="BesediloUMAR"/>
        <w:rPr>
          <w:b/>
        </w:rPr>
      </w:pPr>
    </w:p>
    <w:p w14:paraId="46BE92C2" w14:textId="588B2BCA" w:rsidR="00C03361" w:rsidRPr="007374DA" w:rsidRDefault="00C845A7" w:rsidP="009D6F28">
      <w:pPr>
        <w:pStyle w:val="BesediloUMAR"/>
      </w:pPr>
      <w:r>
        <w:rPr>
          <w:rStyle w:val="DZVodilnistavekChar"/>
          <w:noProof/>
        </w:rPr>
        <w:t>D</w:t>
      </w:r>
      <w:r w:rsidR="007E123C" w:rsidRPr="008137B9">
        <w:rPr>
          <w:rStyle w:val="DZVodilnistavekChar"/>
          <w:noProof/>
        </w:rPr>
        <w:t>ružb</w:t>
      </w:r>
      <w:r>
        <w:rPr>
          <w:rStyle w:val="DZVodilnistavekChar"/>
          <w:noProof/>
        </w:rPr>
        <w:t>e</w:t>
      </w:r>
      <w:r w:rsidR="007E123C" w:rsidRPr="008137B9">
        <w:rPr>
          <w:rStyle w:val="DZVodilnistavekChar"/>
          <w:noProof/>
        </w:rPr>
        <w:t xml:space="preserve"> dejavnosti promet</w:t>
      </w:r>
      <w:r>
        <w:rPr>
          <w:rStyle w:val="DZVodilnistavekChar"/>
          <w:noProof/>
        </w:rPr>
        <w:t>a</w:t>
      </w:r>
      <w:r w:rsidR="007E123C" w:rsidRPr="008137B9">
        <w:rPr>
          <w:rStyle w:val="DZVodilnistavekChar"/>
          <w:noProof/>
        </w:rPr>
        <w:t xml:space="preserve"> in skladiščenj</w:t>
      </w:r>
      <w:r>
        <w:rPr>
          <w:rStyle w:val="DZVodilnistavekChar"/>
          <w:noProof/>
        </w:rPr>
        <w:t>a</w:t>
      </w:r>
      <w:r w:rsidR="007E123C" w:rsidRPr="008137B9">
        <w:rPr>
          <w:rStyle w:val="DZVodilnistavekChar"/>
          <w:noProof/>
        </w:rPr>
        <w:t xml:space="preserve"> (H) </w:t>
      </w:r>
      <w:r w:rsidR="004D2393">
        <w:rPr>
          <w:rStyle w:val="DZVodilnistavekChar"/>
          <w:noProof/>
        </w:rPr>
        <w:t xml:space="preserve">so </w:t>
      </w:r>
      <w:r>
        <w:rPr>
          <w:rStyle w:val="DZVodilnistavekChar"/>
          <w:noProof/>
        </w:rPr>
        <w:t>tudi neto čist</w:t>
      </w:r>
      <w:r w:rsidR="004D2393">
        <w:rPr>
          <w:rStyle w:val="DZVodilnistavekChar"/>
          <w:noProof/>
        </w:rPr>
        <w:t>i</w:t>
      </w:r>
      <w:r>
        <w:rPr>
          <w:rStyle w:val="DZVodilnistavekChar"/>
          <w:noProof/>
        </w:rPr>
        <w:t xml:space="preserve"> dobič</w:t>
      </w:r>
      <w:r w:rsidR="004D2393">
        <w:rPr>
          <w:rStyle w:val="DZVodilnistavekChar"/>
          <w:noProof/>
        </w:rPr>
        <w:t>e</w:t>
      </w:r>
      <w:r>
        <w:rPr>
          <w:rStyle w:val="DZVodilnistavekChar"/>
          <w:noProof/>
        </w:rPr>
        <w:t xml:space="preserve">k v zadnjih </w:t>
      </w:r>
      <w:r w:rsidR="004D2393">
        <w:rPr>
          <w:rStyle w:val="DZVodilnistavekChar"/>
          <w:noProof/>
        </w:rPr>
        <w:t>štiri</w:t>
      </w:r>
      <w:r>
        <w:rPr>
          <w:rStyle w:val="DZVodilnistavekChar"/>
          <w:noProof/>
        </w:rPr>
        <w:t xml:space="preserve">h letih </w:t>
      </w:r>
      <w:r w:rsidR="004D2393">
        <w:rPr>
          <w:rStyle w:val="DZVodilnistavekChar"/>
          <w:noProof/>
        </w:rPr>
        <w:t xml:space="preserve">povečale manj od vseh </w:t>
      </w:r>
      <w:r w:rsidR="002A32B2">
        <w:rPr>
          <w:rStyle w:val="DZVodilnistavekChar"/>
          <w:noProof/>
        </w:rPr>
        <w:t xml:space="preserve">družb </w:t>
      </w:r>
      <w:r w:rsidR="00DA4874">
        <w:rPr>
          <w:rStyle w:val="DZVodilnistavekChar"/>
          <w:noProof/>
        </w:rPr>
        <w:t>v gospodarstvu</w:t>
      </w:r>
      <w:r w:rsidR="0044183A">
        <w:rPr>
          <w:rStyle w:val="DZVodilnistavekChar"/>
          <w:noProof/>
        </w:rPr>
        <w:t>, v letu 202</w:t>
      </w:r>
      <w:r w:rsidR="002A32B2">
        <w:rPr>
          <w:rStyle w:val="DZVodilnistavekChar"/>
          <w:noProof/>
        </w:rPr>
        <w:t>3</w:t>
      </w:r>
      <w:r w:rsidR="00F6036D">
        <w:rPr>
          <w:rStyle w:val="DZVodilnistavekChar"/>
          <w:noProof/>
        </w:rPr>
        <w:t xml:space="preserve"> se je</w:t>
      </w:r>
      <w:r w:rsidR="002A32B2">
        <w:rPr>
          <w:rStyle w:val="DZVodilnistavekChar"/>
          <w:noProof/>
        </w:rPr>
        <w:t xml:space="preserve"> celo nekoliko zmanjšal</w:t>
      </w:r>
      <w:r w:rsidR="0044183A">
        <w:rPr>
          <w:rStyle w:val="DZVodilnistavekChar"/>
          <w:noProof/>
        </w:rPr>
        <w:t>.</w:t>
      </w:r>
      <w:r w:rsidR="007E123C" w:rsidRPr="008137B9">
        <w:rPr>
          <w:rStyle w:val="DZBesediloChar"/>
          <w:noProof/>
        </w:rPr>
        <w:t xml:space="preserve"> </w:t>
      </w:r>
      <w:r w:rsidR="00DA4874">
        <w:rPr>
          <w:rStyle w:val="DZBesediloChar"/>
          <w:noProof/>
        </w:rPr>
        <w:t>V obdobju 2019</w:t>
      </w:r>
      <w:r w:rsidR="00DA4874" w:rsidRPr="00DA4874">
        <w:rPr>
          <w:bCs/>
        </w:rPr>
        <w:t>–</w:t>
      </w:r>
      <w:r w:rsidR="00DA4874">
        <w:rPr>
          <w:rStyle w:val="DZBesediloChar"/>
          <w:noProof/>
        </w:rPr>
        <w:t>202</w:t>
      </w:r>
      <w:r w:rsidR="002A32B2">
        <w:rPr>
          <w:rStyle w:val="DZBesediloChar"/>
          <w:noProof/>
        </w:rPr>
        <w:t>3</w:t>
      </w:r>
      <w:r w:rsidR="00DA4874">
        <w:rPr>
          <w:rStyle w:val="DZBesediloChar"/>
          <w:noProof/>
        </w:rPr>
        <w:t xml:space="preserve"> se je </w:t>
      </w:r>
      <w:r w:rsidR="005A1FBB">
        <w:rPr>
          <w:rStyle w:val="DZBesediloChar"/>
          <w:noProof/>
        </w:rPr>
        <w:t xml:space="preserve">neto čisti dobiček </w:t>
      </w:r>
      <w:r w:rsidR="006F1C53">
        <w:rPr>
          <w:rStyle w:val="DZBesediloChar"/>
          <w:noProof/>
        </w:rPr>
        <w:t xml:space="preserve">v </w:t>
      </w:r>
      <w:r w:rsidR="005A1FBB">
        <w:rPr>
          <w:rStyle w:val="DZBesediloChar"/>
          <w:noProof/>
        </w:rPr>
        <w:t>promet</w:t>
      </w:r>
      <w:r w:rsidR="006F1C53">
        <w:rPr>
          <w:rStyle w:val="DZBesediloChar"/>
          <w:noProof/>
        </w:rPr>
        <w:t>u</w:t>
      </w:r>
      <w:r w:rsidR="00DA4874">
        <w:rPr>
          <w:rStyle w:val="DZBesediloChar"/>
          <w:noProof/>
        </w:rPr>
        <w:t xml:space="preserve"> povečal </w:t>
      </w:r>
      <w:r w:rsidR="0098105A">
        <w:rPr>
          <w:rStyle w:val="DZBesediloChar"/>
          <w:noProof/>
        </w:rPr>
        <w:t>za 3</w:t>
      </w:r>
      <w:r w:rsidR="002A32B2">
        <w:rPr>
          <w:rStyle w:val="DZBesediloChar"/>
          <w:noProof/>
        </w:rPr>
        <w:t>8</w:t>
      </w:r>
      <w:r w:rsidR="0098105A">
        <w:rPr>
          <w:rStyle w:val="DZBesediloChar"/>
          <w:noProof/>
        </w:rPr>
        <w:t>,</w:t>
      </w:r>
      <w:r w:rsidR="002A32B2">
        <w:rPr>
          <w:rStyle w:val="DZBesediloChar"/>
          <w:noProof/>
        </w:rPr>
        <w:t>9</w:t>
      </w:r>
      <w:r w:rsidR="0098105A">
        <w:rPr>
          <w:rStyle w:val="DZBesediloChar"/>
          <w:noProof/>
        </w:rPr>
        <w:t xml:space="preserve"> %, pri vseh družbah </w:t>
      </w:r>
      <w:r w:rsidR="002A32B2">
        <w:rPr>
          <w:rStyle w:val="DZBesediloChar"/>
          <w:noProof/>
        </w:rPr>
        <w:t xml:space="preserve">pa za </w:t>
      </w:r>
      <w:r w:rsidR="006F1C53">
        <w:rPr>
          <w:rStyle w:val="DZBesediloChar"/>
          <w:noProof/>
        </w:rPr>
        <w:t>44</w:t>
      </w:r>
      <w:r w:rsidR="0098105A">
        <w:rPr>
          <w:rStyle w:val="DZBesediloChar"/>
          <w:noProof/>
        </w:rPr>
        <w:t>,</w:t>
      </w:r>
      <w:r w:rsidR="006F1C53">
        <w:rPr>
          <w:rStyle w:val="DZBesediloChar"/>
          <w:noProof/>
        </w:rPr>
        <w:t>8</w:t>
      </w:r>
      <w:r w:rsidR="0098105A">
        <w:rPr>
          <w:rStyle w:val="DZBesediloChar"/>
          <w:noProof/>
        </w:rPr>
        <w:t> %</w:t>
      </w:r>
      <w:r w:rsidR="005A1FBB">
        <w:rPr>
          <w:rStyle w:val="DZBesediloChar"/>
          <w:noProof/>
        </w:rPr>
        <w:t xml:space="preserve">. </w:t>
      </w:r>
      <w:r w:rsidR="00E00885">
        <w:rPr>
          <w:rStyle w:val="DZBesediloChar"/>
          <w:noProof/>
        </w:rPr>
        <w:t>J</w:t>
      </w:r>
      <w:r w:rsidR="005A1FBB">
        <w:rPr>
          <w:rStyle w:val="DZBesediloChar"/>
          <w:noProof/>
        </w:rPr>
        <w:t>e</w:t>
      </w:r>
      <w:r w:rsidR="00E00885">
        <w:rPr>
          <w:rStyle w:val="DZBesediloChar"/>
          <w:noProof/>
        </w:rPr>
        <w:t xml:space="preserve"> pa v zadnjih nekaj letih na poslovne rezultate</w:t>
      </w:r>
      <w:r w:rsidR="005A1FBB">
        <w:rPr>
          <w:rStyle w:val="DZBesediloChar"/>
          <w:noProof/>
        </w:rPr>
        <w:t xml:space="preserve"> pri vseh družbah </w:t>
      </w:r>
      <w:r w:rsidR="00E00885">
        <w:rPr>
          <w:rStyle w:val="DZBesediloChar"/>
          <w:noProof/>
        </w:rPr>
        <w:t xml:space="preserve">močno vplivalo nihanje poslovnih rezultatov v dejavnosti oskrbe z elektriko, plinom in paro (D), </w:t>
      </w:r>
      <w:r w:rsidR="006B789C">
        <w:rPr>
          <w:rStyle w:val="DZBesediloChar"/>
          <w:noProof/>
        </w:rPr>
        <w:t>kar je bilo predvsem posledica</w:t>
      </w:r>
      <w:r w:rsidR="00A55D70">
        <w:rPr>
          <w:rStyle w:val="DZBesediloChar"/>
          <w:noProof/>
        </w:rPr>
        <w:t xml:space="preserve"> različnih oblik regulacije cen</w:t>
      </w:r>
      <w:r w:rsidR="00E00885">
        <w:rPr>
          <w:rStyle w:val="DZBesediloChar"/>
          <w:noProof/>
        </w:rPr>
        <w:t xml:space="preserve">, spreminjanja cen energentov na svetovnem trgu, </w:t>
      </w:r>
      <w:r w:rsidR="006B789C">
        <w:rPr>
          <w:rStyle w:val="DZBesediloChar"/>
          <w:noProof/>
        </w:rPr>
        <w:t>dolgoročnejših pogodb z odjemalci elektrike, močnega nihanja vodostajev rek</w:t>
      </w:r>
      <w:r w:rsidR="00A55D70">
        <w:rPr>
          <w:rStyle w:val="DZBesediloChar"/>
          <w:noProof/>
        </w:rPr>
        <w:t xml:space="preserve"> </w:t>
      </w:r>
      <w:r w:rsidR="006B789C">
        <w:rPr>
          <w:rStyle w:val="DZBesediloChar"/>
          <w:noProof/>
        </w:rPr>
        <w:lastRenderedPageBreak/>
        <w:t>in še drugih razlogov</w:t>
      </w:r>
      <w:r w:rsidR="009444AF">
        <w:rPr>
          <w:rStyle w:val="DZBesediloChar"/>
          <w:noProof/>
        </w:rPr>
        <w:t xml:space="preserve">. Če to dejavnost iz izračuna za vse družbe izločimo, so </w:t>
      </w:r>
      <w:r w:rsidR="009658DF">
        <w:rPr>
          <w:rStyle w:val="DZBesediloChar"/>
          <w:noProof/>
        </w:rPr>
        <w:t>preostale družbe</w:t>
      </w:r>
      <w:r w:rsidR="009444AF">
        <w:rPr>
          <w:rStyle w:val="DZBesediloChar"/>
          <w:noProof/>
        </w:rPr>
        <w:t xml:space="preserve"> neto čisti dobiček </w:t>
      </w:r>
      <w:r w:rsidR="009A6C20">
        <w:rPr>
          <w:rStyle w:val="DZBesediloChar"/>
          <w:noProof/>
        </w:rPr>
        <w:t xml:space="preserve">v omenjenem obdobju </w:t>
      </w:r>
      <w:r w:rsidR="0027442B">
        <w:rPr>
          <w:rStyle w:val="DZBesediloChar"/>
          <w:noProof/>
        </w:rPr>
        <w:t>2019</w:t>
      </w:r>
      <w:r w:rsidR="0027442B" w:rsidRPr="00DA4874">
        <w:rPr>
          <w:bCs/>
        </w:rPr>
        <w:t>–</w:t>
      </w:r>
      <w:r w:rsidR="0027442B">
        <w:rPr>
          <w:rStyle w:val="DZBesediloChar"/>
          <w:noProof/>
        </w:rPr>
        <w:t xml:space="preserve">2023 </w:t>
      </w:r>
      <w:r w:rsidR="009444AF">
        <w:rPr>
          <w:rStyle w:val="DZBesediloChar"/>
          <w:noProof/>
        </w:rPr>
        <w:t xml:space="preserve">povečale </w:t>
      </w:r>
      <w:r w:rsidR="006B789C">
        <w:rPr>
          <w:rStyle w:val="DZBesediloChar"/>
          <w:noProof/>
        </w:rPr>
        <w:t>praktično enako</w:t>
      </w:r>
      <w:r w:rsidR="009444AF">
        <w:rPr>
          <w:rStyle w:val="DZBesediloChar"/>
          <w:noProof/>
        </w:rPr>
        <w:t xml:space="preserve"> kot prometna dejavnost. </w:t>
      </w:r>
      <w:r w:rsidR="00714641" w:rsidRPr="004B5BA2">
        <w:rPr>
          <w:rStyle w:val="DZBesediloChar"/>
          <w:noProof/>
        </w:rPr>
        <w:t>Zadnja</w:t>
      </w:r>
      <w:r w:rsidR="00714641">
        <w:rPr>
          <w:rStyle w:val="DZBesediloChar"/>
          <w:noProof/>
        </w:rPr>
        <w:t xml:space="preserve"> tri leta pred epidemijo so prometne družbe dosegale po skoraj 400 mio EUR neto čistega dobička letno, ob zajezitvenih ukrepih</w:t>
      </w:r>
      <w:r w:rsidR="003B49AF">
        <w:rPr>
          <w:rStyle w:val="DZBesediloChar"/>
          <w:noProof/>
        </w:rPr>
        <w:t xml:space="preserve"> </w:t>
      </w:r>
      <w:r w:rsidR="003B5BB8">
        <w:rPr>
          <w:rStyle w:val="DZBesediloChar"/>
          <w:noProof/>
        </w:rPr>
        <w:t xml:space="preserve">ob epidemiji </w:t>
      </w:r>
      <w:r w:rsidR="003B49AF">
        <w:rPr>
          <w:rStyle w:val="DZBesediloChar"/>
          <w:noProof/>
        </w:rPr>
        <w:t>v letu 2020</w:t>
      </w:r>
      <w:r w:rsidR="00714641">
        <w:rPr>
          <w:rStyle w:val="DZBesediloChar"/>
          <w:noProof/>
        </w:rPr>
        <w:t xml:space="preserve"> </w:t>
      </w:r>
      <w:r w:rsidR="003B49AF">
        <w:rPr>
          <w:rStyle w:val="DZBesediloChar"/>
          <w:noProof/>
        </w:rPr>
        <w:t>pa je bilo zelo omejeno poslovanje mnogih prometnih dejavnosti, med drugim še posebej javn</w:t>
      </w:r>
      <w:r w:rsidR="000F41F7">
        <w:rPr>
          <w:rStyle w:val="DZBesediloChar"/>
          <w:noProof/>
        </w:rPr>
        <w:t>ega</w:t>
      </w:r>
      <w:r w:rsidR="003B49AF">
        <w:rPr>
          <w:rStyle w:val="DZBesediloChar"/>
          <w:noProof/>
        </w:rPr>
        <w:t xml:space="preserve"> avtobusn</w:t>
      </w:r>
      <w:r w:rsidR="000F41F7">
        <w:rPr>
          <w:rStyle w:val="DZBesediloChar"/>
          <w:noProof/>
        </w:rPr>
        <w:t>ega</w:t>
      </w:r>
      <w:r w:rsidR="003B49AF">
        <w:rPr>
          <w:rStyle w:val="DZBesediloChar"/>
          <w:noProof/>
        </w:rPr>
        <w:t>, železnišk</w:t>
      </w:r>
      <w:r w:rsidR="000F41F7">
        <w:rPr>
          <w:rStyle w:val="DZBesediloChar"/>
          <w:noProof/>
        </w:rPr>
        <w:t>ega</w:t>
      </w:r>
      <w:r w:rsidR="003B49AF">
        <w:rPr>
          <w:rStyle w:val="DZBesediloChar"/>
          <w:noProof/>
        </w:rPr>
        <w:t xml:space="preserve"> </w:t>
      </w:r>
      <w:r w:rsidR="002C58BD">
        <w:rPr>
          <w:rStyle w:val="DZBesediloChar"/>
          <w:noProof/>
        </w:rPr>
        <w:t>in</w:t>
      </w:r>
      <w:r w:rsidR="003B49AF">
        <w:rPr>
          <w:rStyle w:val="DZBesediloChar"/>
          <w:noProof/>
        </w:rPr>
        <w:t xml:space="preserve"> letališk</w:t>
      </w:r>
      <w:r w:rsidR="000F41F7">
        <w:rPr>
          <w:rStyle w:val="DZBesediloChar"/>
          <w:noProof/>
        </w:rPr>
        <w:t>ega</w:t>
      </w:r>
      <w:r w:rsidR="003B49AF">
        <w:rPr>
          <w:rStyle w:val="DZBesediloChar"/>
          <w:noProof/>
        </w:rPr>
        <w:t xml:space="preserve"> </w:t>
      </w:r>
      <w:r w:rsidR="003B5BB8">
        <w:rPr>
          <w:rStyle w:val="DZBesediloChar"/>
          <w:noProof/>
        </w:rPr>
        <w:t>potnišk</w:t>
      </w:r>
      <w:r w:rsidR="000F41F7">
        <w:rPr>
          <w:rStyle w:val="DZBesediloChar"/>
          <w:noProof/>
        </w:rPr>
        <w:t>ega</w:t>
      </w:r>
      <w:r w:rsidR="003B5BB8">
        <w:rPr>
          <w:rStyle w:val="DZBesediloChar"/>
          <w:noProof/>
        </w:rPr>
        <w:t xml:space="preserve"> </w:t>
      </w:r>
      <w:r w:rsidR="003B49AF">
        <w:rPr>
          <w:rStyle w:val="DZBesediloChar"/>
          <w:noProof/>
        </w:rPr>
        <w:t>promet</w:t>
      </w:r>
      <w:r w:rsidR="000F41F7">
        <w:rPr>
          <w:rStyle w:val="DZBesediloChar"/>
          <w:noProof/>
        </w:rPr>
        <w:t>a</w:t>
      </w:r>
      <w:r w:rsidR="007A2CCB">
        <w:rPr>
          <w:rStyle w:val="DZBesediloChar"/>
          <w:noProof/>
        </w:rPr>
        <w:t>, tako da se je dobiček prepolovil.</w:t>
      </w:r>
      <w:r w:rsidR="003B49AF">
        <w:rPr>
          <w:rStyle w:val="DZBesediloChar"/>
          <w:noProof/>
        </w:rPr>
        <w:t xml:space="preserve"> </w:t>
      </w:r>
      <w:r w:rsidR="00AC7F0B">
        <w:rPr>
          <w:rStyle w:val="DZBesediloChar"/>
          <w:noProof/>
        </w:rPr>
        <w:t xml:space="preserve">Ker so mnoge omejitve pri poslovanju </w:t>
      </w:r>
      <w:r w:rsidR="00EF7D95">
        <w:rPr>
          <w:rStyle w:val="DZBesediloChar"/>
          <w:noProof/>
        </w:rPr>
        <w:t xml:space="preserve">nekaterih </w:t>
      </w:r>
      <w:r w:rsidR="00AC7F0B">
        <w:rPr>
          <w:rStyle w:val="DZBesediloChar"/>
          <w:noProof/>
        </w:rPr>
        <w:t xml:space="preserve">prometnih dejavnosti </w:t>
      </w:r>
      <w:r w:rsidR="00EF7D95">
        <w:rPr>
          <w:rStyle w:val="DZBesediloChar"/>
          <w:noProof/>
        </w:rPr>
        <w:t xml:space="preserve">delno </w:t>
      </w:r>
      <w:r w:rsidR="00AC7F0B">
        <w:rPr>
          <w:rStyle w:val="DZBesediloChar"/>
          <w:noProof/>
        </w:rPr>
        <w:t xml:space="preserve">veljale tudi v letu 2021, se je v tem letu neto čisti dobiček v dejavnosti H sicer povečal, a za dobro desetino zaostal za poslovnim rezultatom iz leta 2019, </w:t>
      </w:r>
      <w:r w:rsidR="00F6036D">
        <w:rPr>
          <w:rStyle w:val="DZBesediloChar"/>
          <w:noProof/>
        </w:rPr>
        <w:t xml:space="preserve">neto dobiček vseh gospodarskih družb pa je v tem letu že </w:t>
      </w:r>
      <w:r w:rsidR="00EF7D95">
        <w:rPr>
          <w:rStyle w:val="DZBesediloChar"/>
          <w:noProof/>
        </w:rPr>
        <w:t xml:space="preserve">za skoraj četrtino presegel predkriznega. </w:t>
      </w:r>
      <w:r w:rsidR="007A2CCB">
        <w:rPr>
          <w:rStyle w:val="DZBesediloChar"/>
          <w:noProof/>
        </w:rPr>
        <w:t xml:space="preserve">Kljub temu, </w:t>
      </w:r>
      <w:r w:rsidR="009D2218">
        <w:rPr>
          <w:rStyle w:val="DZBesediloChar"/>
          <w:noProof/>
        </w:rPr>
        <w:t xml:space="preserve">da je bil v letu 2022 v primerjavi z letom 2019 še </w:t>
      </w:r>
      <w:r w:rsidR="0044183A">
        <w:rPr>
          <w:rStyle w:val="DZBesediloChar"/>
          <w:noProof/>
        </w:rPr>
        <w:t xml:space="preserve">vedno </w:t>
      </w:r>
      <w:r w:rsidR="009D2218">
        <w:rPr>
          <w:rStyle w:val="DZBesediloChar"/>
          <w:noProof/>
        </w:rPr>
        <w:t xml:space="preserve">precej </w:t>
      </w:r>
      <w:r w:rsidR="000A6851">
        <w:rPr>
          <w:rStyle w:val="DZBesediloChar"/>
          <w:noProof/>
        </w:rPr>
        <w:t>manjši</w:t>
      </w:r>
      <w:r w:rsidR="009D2218">
        <w:rPr>
          <w:rStyle w:val="DZBesediloChar"/>
          <w:noProof/>
        </w:rPr>
        <w:t xml:space="preserve"> obseg letališkega in avtobusnega potniškega prometa </w:t>
      </w:r>
      <w:r w:rsidR="00EC432A">
        <w:rPr>
          <w:rStyle w:val="DZBesediloChar"/>
          <w:noProof/>
        </w:rPr>
        <w:t>ter</w:t>
      </w:r>
      <w:r w:rsidR="009D2218">
        <w:rPr>
          <w:rStyle w:val="DZBesediloChar"/>
          <w:noProof/>
        </w:rPr>
        <w:t xml:space="preserve"> nekoliko </w:t>
      </w:r>
      <w:r w:rsidR="000A6851">
        <w:rPr>
          <w:rStyle w:val="DZBesediloChar"/>
          <w:noProof/>
        </w:rPr>
        <w:t>manjši</w:t>
      </w:r>
      <w:r w:rsidR="009D2218">
        <w:rPr>
          <w:rStyle w:val="DZBesediloChar"/>
          <w:noProof/>
        </w:rPr>
        <w:t xml:space="preserve"> tudi še skupni prihodki DARS, se je</w:t>
      </w:r>
      <w:r w:rsidR="0044183A">
        <w:rPr>
          <w:rStyle w:val="DZBesediloChar"/>
          <w:noProof/>
        </w:rPr>
        <w:t>,</w:t>
      </w:r>
      <w:r w:rsidR="009D2218">
        <w:rPr>
          <w:rStyle w:val="DZBesediloChar"/>
          <w:noProof/>
        </w:rPr>
        <w:t xml:space="preserve"> </w:t>
      </w:r>
      <w:r w:rsidR="0044183A">
        <w:rPr>
          <w:rStyle w:val="DZBesediloChar"/>
          <w:noProof/>
        </w:rPr>
        <w:t>gledano le</w:t>
      </w:r>
      <w:r w:rsidR="009D2218">
        <w:rPr>
          <w:rStyle w:val="DZBesediloChar"/>
          <w:noProof/>
        </w:rPr>
        <w:t xml:space="preserve"> v letu 2022</w:t>
      </w:r>
      <w:r w:rsidR="0044183A">
        <w:rPr>
          <w:rStyle w:val="DZBesediloChar"/>
          <w:noProof/>
        </w:rPr>
        <w:t>,</w:t>
      </w:r>
      <w:r w:rsidR="009D2218">
        <w:rPr>
          <w:rStyle w:val="DZBesediloChar"/>
          <w:noProof/>
        </w:rPr>
        <w:t xml:space="preserve"> neto čisti dobiček v prometu in skladiščenju močno, za 56,9 %</w:t>
      </w:r>
      <w:r w:rsidR="00F9157B">
        <w:rPr>
          <w:rStyle w:val="DZBesediloChar"/>
          <w:noProof/>
        </w:rPr>
        <w:t>,</w:t>
      </w:r>
      <w:r w:rsidR="009D2218">
        <w:rPr>
          <w:rStyle w:val="DZBesediloChar"/>
          <w:noProof/>
        </w:rPr>
        <w:t xml:space="preserve"> povečal </w:t>
      </w:r>
      <w:r w:rsidR="00EC432A">
        <w:rPr>
          <w:rStyle w:val="DZBesediloChar"/>
          <w:noProof/>
        </w:rPr>
        <w:t>ter</w:t>
      </w:r>
      <w:r w:rsidR="009D2218">
        <w:rPr>
          <w:rStyle w:val="DZBesediloChar"/>
          <w:noProof/>
        </w:rPr>
        <w:t xml:space="preserve"> presegel 550 mio EUR</w:t>
      </w:r>
      <w:r w:rsidR="00811D0C">
        <w:rPr>
          <w:rStyle w:val="DZBesediloChar"/>
          <w:noProof/>
        </w:rPr>
        <w:t xml:space="preserve"> </w:t>
      </w:r>
      <w:r w:rsidR="00811D0C" w:rsidRPr="007374DA">
        <w:rPr>
          <w:rStyle w:val="DZBesediloChar"/>
          <w:noProof/>
        </w:rPr>
        <w:t>(pri vseh družbah dosti nižja, le 6,7-odstotna rast)</w:t>
      </w:r>
      <w:r w:rsidR="00525632" w:rsidRPr="007374DA">
        <w:rPr>
          <w:rStyle w:val="DZBesediloChar"/>
          <w:noProof/>
        </w:rPr>
        <w:t xml:space="preserve">. </w:t>
      </w:r>
      <w:r w:rsidR="00D5655B" w:rsidRPr="007374DA">
        <w:rPr>
          <w:rStyle w:val="DZBesediloChar"/>
          <w:noProof/>
        </w:rPr>
        <w:t>Temu je v</w:t>
      </w:r>
      <w:r w:rsidR="001409EA" w:rsidRPr="007374DA">
        <w:rPr>
          <w:rStyle w:val="DZBesediloChar"/>
          <w:noProof/>
        </w:rPr>
        <w:t xml:space="preserve"> letu 2023</w:t>
      </w:r>
      <w:r w:rsidR="00D5655B" w:rsidRPr="007374DA">
        <w:rPr>
          <w:rStyle w:val="DZBesediloChar"/>
          <w:noProof/>
        </w:rPr>
        <w:t xml:space="preserve"> sledilo</w:t>
      </w:r>
      <w:r w:rsidR="001409EA" w:rsidRPr="007374DA">
        <w:rPr>
          <w:rStyle w:val="DZBesediloChar"/>
          <w:noProof/>
        </w:rPr>
        <w:t xml:space="preserve"> malenkost</w:t>
      </w:r>
      <w:r w:rsidR="00D5655B" w:rsidRPr="007374DA">
        <w:rPr>
          <w:rStyle w:val="DZBesediloChar"/>
          <w:noProof/>
        </w:rPr>
        <w:t>no</w:t>
      </w:r>
      <w:r w:rsidR="001409EA" w:rsidRPr="007374DA">
        <w:rPr>
          <w:rStyle w:val="DZBesediloChar"/>
          <w:noProof/>
        </w:rPr>
        <w:t xml:space="preserve"> zmanjša</w:t>
      </w:r>
      <w:r w:rsidR="00D5655B" w:rsidRPr="007374DA">
        <w:rPr>
          <w:rStyle w:val="DZBesediloChar"/>
          <w:noProof/>
        </w:rPr>
        <w:t>nje</w:t>
      </w:r>
      <w:r w:rsidR="001409EA" w:rsidRPr="007374DA">
        <w:rPr>
          <w:rStyle w:val="DZBesediloChar"/>
          <w:noProof/>
        </w:rPr>
        <w:t xml:space="preserve"> (za </w:t>
      </w:r>
      <w:r w:rsidR="00B218CB" w:rsidRPr="007374DA">
        <w:rPr>
          <w:rStyle w:val="DZBesediloChar"/>
          <w:noProof/>
        </w:rPr>
        <w:t>0,4</w:t>
      </w:r>
      <w:r w:rsidR="001409EA" w:rsidRPr="007374DA">
        <w:rPr>
          <w:rStyle w:val="DZBesediloChar"/>
          <w:noProof/>
        </w:rPr>
        <w:t> %</w:t>
      </w:r>
      <w:r w:rsidR="00B218CB" w:rsidRPr="007374DA">
        <w:rPr>
          <w:rStyle w:val="DZBesediloChar"/>
          <w:noProof/>
        </w:rPr>
        <w:t xml:space="preserve"> oziroma za 2,3 mio EUR</w:t>
      </w:r>
      <w:r w:rsidR="009A6C20" w:rsidRPr="007374DA">
        <w:rPr>
          <w:rStyle w:val="DZBesediloChar"/>
          <w:noProof/>
        </w:rPr>
        <w:t>, na 548 mio EUR</w:t>
      </w:r>
      <w:r w:rsidR="001409EA" w:rsidRPr="007374DA">
        <w:rPr>
          <w:rStyle w:val="DZBesediloChar"/>
          <w:noProof/>
        </w:rPr>
        <w:t>)</w:t>
      </w:r>
      <w:r w:rsidR="00811D0C" w:rsidRPr="007374DA">
        <w:rPr>
          <w:rStyle w:val="DZBesediloChar"/>
          <w:noProof/>
        </w:rPr>
        <w:t>. V promet</w:t>
      </w:r>
      <w:r w:rsidR="002E2A8E" w:rsidRPr="007374DA">
        <w:rPr>
          <w:rStyle w:val="DZBesediloChar"/>
          <w:noProof/>
        </w:rPr>
        <w:t>u</w:t>
      </w:r>
      <w:r w:rsidR="00811D0C" w:rsidRPr="007374DA">
        <w:rPr>
          <w:rStyle w:val="DZBesediloChar"/>
          <w:noProof/>
        </w:rPr>
        <w:t xml:space="preserve"> in skladiščenj</w:t>
      </w:r>
      <w:r w:rsidR="002E2A8E" w:rsidRPr="007374DA">
        <w:rPr>
          <w:rStyle w:val="DZBesediloChar"/>
          <w:noProof/>
        </w:rPr>
        <w:t>u</w:t>
      </w:r>
      <w:r w:rsidR="00811D0C" w:rsidRPr="007374DA">
        <w:rPr>
          <w:rStyle w:val="DZBesediloChar"/>
          <w:noProof/>
        </w:rPr>
        <w:t xml:space="preserve"> so v letu 202</w:t>
      </w:r>
      <w:r w:rsidR="006967B5" w:rsidRPr="007374DA">
        <w:rPr>
          <w:rStyle w:val="DZBesediloChar"/>
          <w:noProof/>
        </w:rPr>
        <w:t>3</w:t>
      </w:r>
      <w:r w:rsidR="00811D0C" w:rsidRPr="007374DA">
        <w:rPr>
          <w:rStyle w:val="DZBesediloChar"/>
          <w:noProof/>
        </w:rPr>
        <w:t xml:space="preserve"> </w:t>
      </w:r>
      <w:bookmarkStart w:id="28" w:name="_Hlk137043258"/>
      <w:r w:rsidR="0026589C" w:rsidRPr="007374DA">
        <w:rPr>
          <w:rStyle w:val="DZBesediloChar"/>
          <w:noProof/>
        </w:rPr>
        <w:t>neto čisti dobiček zabeležili praktično v vseh dejavnostih</w:t>
      </w:r>
      <w:bookmarkEnd w:id="28"/>
      <w:r w:rsidR="009F130E" w:rsidRPr="007374DA">
        <w:rPr>
          <w:rStyle w:val="Sprotnaopomba-sklic"/>
          <w:noProof/>
        </w:rPr>
        <w:footnoteReference w:id="8"/>
      </w:r>
      <w:r w:rsidR="0026589C" w:rsidRPr="007374DA">
        <w:rPr>
          <w:rStyle w:val="DZBesediloChar"/>
          <w:noProof/>
        </w:rPr>
        <w:t xml:space="preserve">, </w:t>
      </w:r>
      <w:bookmarkStart w:id="29" w:name="_Hlk137043526"/>
      <w:r w:rsidR="00811D0C" w:rsidRPr="007374DA">
        <w:rPr>
          <w:rStyle w:val="DZBesediloChar"/>
          <w:noProof/>
        </w:rPr>
        <w:t xml:space="preserve">največ </w:t>
      </w:r>
      <w:r w:rsidR="0026589C" w:rsidRPr="007374DA">
        <w:rPr>
          <w:rStyle w:val="DZBesediloChar"/>
          <w:noProof/>
        </w:rPr>
        <w:t xml:space="preserve">pa </w:t>
      </w:r>
      <w:r w:rsidR="00811D0C" w:rsidRPr="007374DA">
        <w:rPr>
          <w:rStyle w:val="DZBesediloChar"/>
          <w:noProof/>
        </w:rPr>
        <w:t xml:space="preserve">v </w:t>
      </w:r>
      <w:r w:rsidR="004B5BA2" w:rsidRPr="007374DA">
        <w:rPr>
          <w:rStyle w:val="DZBesediloChar"/>
          <w:noProof/>
        </w:rPr>
        <w:t>spremljajočih storitvenih dejavnostih v kopenskem prometu</w:t>
      </w:r>
      <w:r w:rsidR="0087348A" w:rsidRPr="007374DA">
        <w:rPr>
          <w:rStyle w:val="DZBesediloChar"/>
          <w:noProof/>
        </w:rPr>
        <w:t>, 1</w:t>
      </w:r>
      <w:r w:rsidR="004B5BA2" w:rsidRPr="007374DA">
        <w:rPr>
          <w:rStyle w:val="DZBesediloChar"/>
          <w:noProof/>
        </w:rPr>
        <w:t>54</w:t>
      </w:r>
      <w:r w:rsidR="0087348A" w:rsidRPr="007374DA">
        <w:rPr>
          <w:rStyle w:val="DZBesediloChar"/>
          <w:noProof/>
        </w:rPr>
        <w:t xml:space="preserve"> mio EUR, le malenkost manj v</w:t>
      </w:r>
      <w:r w:rsidR="004B5BA2" w:rsidRPr="007374DA">
        <w:rPr>
          <w:rStyle w:val="DZBesediloChar"/>
          <w:noProof/>
        </w:rPr>
        <w:t xml:space="preserve"> cestnem tovornem prometu</w:t>
      </w:r>
      <w:r w:rsidR="0087348A" w:rsidRPr="007374DA">
        <w:rPr>
          <w:rStyle w:val="DZBesediloChar"/>
          <w:noProof/>
        </w:rPr>
        <w:t>, 1</w:t>
      </w:r>
      <w:r w:rsidR="004B5BA2" w:rsidRPr="007374DA">
        <w:rPr>
          <w:rStyle w:val="DZBesediloChar"/>
          <w:noProof/>
        </w:rPr>
        <w:t>50</w:t>
      </w:r>
      <w:r w:rsidR="0087348A" w:rsidRPr="007374DA">
        <w:rPr>
          <w:rStyle w:val="DZBesediloChar"/>
          <w:noProof/>
        </w:rPr>
        <w:t xml:space="preserve"> mio EUR</w:t>
      </w:r>
      <w:r w:rsidR="000328B7" w:rsidRPr="007374DA">
        <w:rPr>
          <w:rStyle w:val="DZBesediloChar"/>
          <w:noProof/>
        </w:rPr>
        <w:t>,</w:t>
      </w:r>
      <w:r w:rsidR="0087348A" w:rsidRPr="007374DA">
        <w:rPr>
          <w:rStyle w:val="DZBesediloChar"/>
          <w:noProof/>
        </w:rPr>
        <w:t xml:space="preserve"> in </w:t>
      </w:r>
      <w:r w:rsidR="004B5BA2" w:rsidRPr="007374DA">
        <w:rPr>
          <w:rStyle w:val="DZBesediloChar"/>
          <w:noProof/>
        </w:rPr>
        <w:t>6</w:t>
      </w:r>
      <w:r w:rsidR="0087348A" w:rsidRPr="007374DA">
        <w:rPr>
          <w:rStyle w:val="DZBesediloChar"/>
          <w:noProof/>
        </w:rPr>
        <w:t xml:space="preserve">3 mio EUR v dejavnosti pretovarjanja. </w:t>
      </w:r>
      <w:r w:rsidR="004B5BA2" w:rsidRPr="007374DA">
        <w:rPr>
          <w:rStyle w:val="DZBesediloChar"/>
          <w:noProof/>
        </w:rPr>
        <w:t>D</w:t>
      </w:r>
      <w:r w:rsidR="003614B3" w:rsidRPr="007374DA">
        <w:rPr>
          <w:rStyle w:val="DZBesediloChar"/>
          <w:noProof/>
        </w:rPr>
        <w:t xml:space="preserve">običek </w:t>
      </w:r>
      <w:r w:rsidR="004B5BA2" w:rsidRPr="007374DA">
        <w:rPr>
          <w:rStyle w:val="DZBesediloChar"/>
          <w:noProof/>
        </w:rPr>
        <w:t xml:space="preserve">se je najbolj zmanjšal </w:t>
      </w:r>
      <w:bookmarkStart w:id="30" w:name="_Hlk167349888"/>
      <w:r w:rsidR="003614B3" w:rsidRPr="007374DA">
        <w:rPr>
          <w:rStyle w:val="DZBesediloChar"/>
          <w:noProof/>
        </w:rPr>
        <w:t xml:space="preserve">v </w:t>
      </w:r>
      <w:r w:rsidR="0026589C" w:rsidRPr="007374DA">
        <w:rPr>
          <w:rStyle w:val="DZBesediloChar"/>
          <w:noProof/>
        </w:rPr>
        <w:t>dejavnosti</w:t>
      </w:r>
      <w:r w:rsidR="003614B3" w:rsidRPr="007374DA">
        <w:rPr>
          <w:rStyle w:val="DZBesediloChar"/>
          <w:noProof/>
        </w:rPr>
        <w:t>h</w:t>
      </w:r>
      <w:r w:rsidR="0026589C" w:rsidRPr="007374DA">
        <w:rPr>
          <w:rStyle w:val="DZBesediloChar"/>
          <w:noProof/>
        </w:rPr>
        <w:t xml:space="preserve"> pretovarjanja</w:t>
      </w:r>
      <w:r w:rsidR="004B5BA2" w:rsidRPr="007374DA">
        <w:rPr>
          <w:rStyle w:val="DZBesediloChar"/>
          <w:noProof/>
        </w:rPr>
        <w:t xml:space="preserve">, skladiščenja </w:t>
      </w:r>
      <w:bookmarkEnd w:id="30"/>
      <w:r w:rsidR="004B5BA2" w:rsidRPr="007374DA">
        <w:rPr>
          <w:rStyle w:val="DZBesediloChar"/>
          <w:noProof/>
        </w:rPr>
        <w:t>in na špediciji, najbolj povečal pa v medkrajevnem avtobusnem prometu</w:t>
      </w:r>
      <w:r w:rsidR="009A6C20" w:rsidRPr="007374DA">
        <w:rPr>
          <w:rStyle w:val="DZBesediloChar"/>
          <w:noProof/>
        </w:rPr>
        <w:t xml:space="preserve">, železniškem potniškem prometu </w:t>
      </w:r>
      <w:r w:rsidR="00983D40">
        <w:rPr>
          <w:rStyle w:val="DZBesediloChar"/>
          <w:noProof/>
        </w:rPr>
        <w:t>ter</w:t>
      </w:r>
      <w:r w:rsidR="0026589C" w:rsidRPr="007374DA">
        <w:rPr>
          <w:rStyle w:val="DZBesediloChar"/>
          <w:noProof/>
        </w:rPr>
        <w:t xml:space="preserve"> v </w:t>
      </w:r>
      <w:bookmarkEnd w:id="29"/>
      <w:r w:rsidR="009A6C20" w:rsidRPr="007374DA">
        <w:rPr>
          <w:rStyle w:val="DZBesediloChar"/>
          <w:noProof/>
        </w:rPr>
        <w:t>spremljajočih storitvenih dejavnostih v kopenskem prometu</w:t>
      </w:r>
      <w:r w:rsidR="003614B3" w:rsidRPr="007374DA">
        <w:rPr>
          <w:rStyle w:val="DZBesediloChar"/>
          <w:noProof/>
        </w:rPr>
        <w:t>.</w:t>
      </w:r>
    </w:p>
    <w:p w14:paraId="001172BB" w14:textId="6DC4FDBD" w:rsidR="001E55C4" w:rsidRPr="00714F84" w:rsidRDefault="00890A5E" w:rsidP="00714F84">
      <w:pPr>
        <w:pStyle w:val="Napis"/>
      </w:pPr>
      <w:r w:rsidRPr="007374DA">
        <w:t>S</w:t>
      </w:r>
      <w:r w:rsidR="001E55C4" w:rsidRPr="007374DA">
        <w:t xml:space="preserve">lika </w:t>
      </w:r>
      <w:r w:rsidR="001E55C4" w:rsidRPr="007374DA">
        <w:fldChar w:fldCharType="begin"/>
      </w:r>
      <w:r w:rsidR="001E55C4" w:rsidRPr="007374DA">
        <w:instrText xml:space="preserve"> SEQ Slika \* ARABIC </w:instrText>
      </w:r>
      <w:r w:rsidR="001E55C4" w:rsidRPr="007374DA">
        <w:fldChar w:fldCharType="separate"/>
      </w:r>
      <w:r w:rsidR="00B002B7" w:rsidRPr="007374DA">
        <w:t>2</w:t>
      </w:r>
      <w:r w:rsidR="001E55C4" w:rsidRPr="007374DA">
        <w:fldChar w:fldCharType="end"/>
      </w:r>
      <w:r w:rsidR="001E55C4" w:rsidRPr="007374DA">
        <w:rPr>
          <w:rStyle w:val="DZBesediloChar"/>
          <w:szCs w:val="20"/>
        </w:rPr>
        <w:t xml:space="preserve">: </w:t>
      </w:r>
      <w:r w:rsidR="006A5E0F" w:rsidRPr="007374DA">
        <w:rPr>
          <w:rStyle w:val="DZBesediloChar"/>
          <w:szCs w:val="20"/>
        </w:rPr>
        <w:t xml:space="preserve">Poslovanje </w:t>
      </w:r>
      <w:r w:rsidR="008619ED" w:rsidRPr="007374DA">
        <w:rPr>
          <w:rStyle w:val="DZBesediloChar"/>
          <w:szCs w:val="20"/>
        </w:rPr>
        <w:t xml:space="preserve">prometnih dejavnosti </w:t>
      </w:r>
      <w:r w:rsidR="006A5E0F" w:rsidRPr="007374DA">
        <w:rPr>
          <w:rStyle w:val="DZBesediloChar"/>
          <w:szCs w:val="20"/>
        </w:rPr>
        <w:t>se</w:t>
      </w:r>
      <w:r w:rsidR="001E55C4" w:rsidRPr="007374DA">
        <w:rPr>
          <w:rStyle w:val="DZBesediloChar"/>
          <w:szCs w:val="20"/>
        </w:rPr>
        <w:t xml:space="preserve"> je v letu 202</w:t>
      </w:r>
      <w:r w:rsidR="008619ED" w:rsidRPr="007374DA">
        <w:rPr>
          <w:rStyle w:val="DZBesediloChar"/>
          <w:szCs w:val="20"/>
        </w:rPr>
        <w:t>3 najbolj poslabšalo</w:t>
      </w:r>
      <w:r w:rsidR="001E55C4" w:rsidRPr="007374DA">
        <w:rPr>
          <w:rStyle w:val="DZBesediloChar"/>
          <w:szCs w:val="20"/>
        </w:rPr>
        <w:t xml:space="preserve"> </w:t>
      </w:r>
      <w:r w:rsidR="008619ED" w:rsidRPr="007374DA">
        <w:rPr>
          <w:rStyle w:val="DZBesediloChar"/>
        </w:rPr>
        <w:t xml:space="preserve">v dejavnostih pretovarjanja in skladiščenja, najbolj </w:t>
      </w:r>
      <w:r w:rsidR="006A5E0F" w:rsidRPr="007374DA">
        <w:rPr>
          <w:rStyle w:val="DZBesediloChar"/>
          <w:szCs w:val="20"/>
        </w:rPr>
        <w:t xml:space="preserve">izboljšalo </w:t>
      </w:r>
      <w:r w:rsidR="008619ED" w:rsidRPr="007374DA">
        <w:rPr>
          <w:rStyle w:val="DZBesediloChar"/>
          <w:szCs w:val="20"/>
        </w:rPr>
        <w:t xml:space="preserve">pa </w:t>
      </w:r>
      <w:r w:rsidR="006A5E0F" w:rsidRPr="007374DA">
        <w:rPr>
          <w:rStyle w:val="DZBesediloChar"/>
          <w:szCs w:val="20"/>
        </w:rPr>
        <w:t xml:space="preserve">v </w:t>
      </w:r>
      <w:r w:rsidR="008619ED" w:rsidRPr="007374DA">
        <w:rPr>
          <w:rStyle w:val="DZBesediloChar"/>
          <w:szCs w:val="20"/>
        </w:rPr>
        <w:t>kopenskem potniškem prometu</w:t>
      </w:r>
      <w:r w:rsidR="00F65804" w:rsidRPr="00714F84">
        <w:rPr>
          <w:rStyle w:val="DZBesediloChar"/>
          <w:szCs w:val="20"/>
        </w:rPr>
        <w:t xml:space="preserve"> </w:t>
      </w:r>
    </w:p>
    <w:p w14:paraId="386B1F70" w14:textId="6EC5E7A1" w:rsidR="00C03361" w:rsidRPr="00C03361" w:rsidRDefault="006A5733" w:rsidP="00C03361">
      <w:pPr>
        <w:pStyle w:val="BesediloUMAR"/>
      </w:pPr>
      <w:r w:rsidRPr="006A5733">
        <w:rPr>
          <w:noProof/>
        </w:rPr>
        <w:drawing>
          <wp:inline distT="0" distB="0" distL="0" distR="0" wp14:anchorId="303C9DCD" wp14:editId="2969FD47">
            <wp:extent cx="5759450" cy="209867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EBAD" w14:textId="424EBAD8" w:rsidR="002F0A04" w:rsidRDefault="002F0A04" w:rsidP="002F0A04">
      <w:pPr>
        <w:pStyle w:val="VirUMAR"/>
      </w:pPr>
      <w:r w:rsidRPr="008F6BED">
        <w:t xml:space="preserve">Vir podatkov: </w:t>
      </w:r>
      <w:r>
        <w:fldChar w:fldCharType="begin"/>
      </w:r>
      <w:r w:rsidR="007309C9">
        <w:instrText xml:space="preserve"> ADDIN ZOTERO_ITEM CSL_CITATION {"citationID":"37NqbOnr","properties":{"formattedCitation":"(AJPES,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Pr="00B3524B">
        <w:t xml:space="preserve">AJPES </w:t>
      </w:r>
      <w:r>
        <w:t>(</w:t>
      </w:r>
      <w:r w:rsidRPr="00B3524B">
        <w:t>202</w:t>
      </w:r>
      <w:r w:rsidR="00E24CE8">
        <w:t>4</w:t>
      </w:r>
      <w:r w:rsidRPr="00B3524B">
        <w:t>)</w:t>
      </w:r>
      <w:r>
        <w:fldChar w:fldCharType="end"/>
      </w:r>
      <w:r w:rsidRPr="008F6BED">
        <w:t>, lastni izračuni.</w:t>
      </w:r>
    </w:p>
    <w:p w14:paraId="5DB7D049" w14:textId="77777777" w:rsidR="00355D96" w:rsidRDefault="00355D96" w:rsidP="00355D96">
      <w:pPr>
        <w:pStyle w:val="BesediloUMAR"/>
      </w:pPr>
    </w:p>
    <w:p w14:paraId="7304D8C4" w14:textId="3A25A180" w:rsidR="005B3835" w:rsidRPr="005B3835" w:rsidRDefault="007E123C" w:rsidP="005B3835">
      <w:pPr>
        <w:pStyle w:val="BesediloUMAR"/>
        <w:rPr>
          <w:bCs/>
        </w:rPr>
      </w:pPr>
      <w:bookmarkStart w:id="31" w:name="_Hlk138079724"/>
      <w:bookmarkStart w:id="32" w:name="_Hlk108790188"/>
      <w:r w:rsidRPr="008137B9">
        <w:rPr>
          <w:rStyle w:val="DZVodilnistavekChar"/>
          <w:noProof/>
        </w:rPr>
        <w:t>Oddelek kopenski promet in cevovodni transport (H 49)</w:t>
      </w:r>
      <w:bookmarkEnd w:id="31"/>
      <w:r w:rsidRPr="008137B9">
        <w:rPr>
          <w:rStyle w:val="DZVodilnistavekChar"/>
          <w:noProof/>
        </w:rPr>
        <w:t xml:space="preserve"> </w:t>
      </w:r>
      <w:r w:rsidR="00305B1E">
        <w:rPr>
          <w:rStyle w:val="DZVodilnistavekChar"/>
          <w:noProof/>
        </w:rPr>
        <w:t>je po izgubi</w:t>
      </w:r>
      <w:r w:rsidRPr="008137B9">
        <w:rPr>
          <w:rStyle w:val="DZVodilnistavekChar"/>
          <w:noProof/>
        </w:rPr>
        <w:t xml:space="preserve"> v letu 2011 do leta 2017 </w:t>
      </w:r>
      <w:r w:rsidR="00305B1E">
        <w:rPr>
          <w:rStyle w:val="DZVodilnistavekChar"/>
          <w:noProof/>
        </w:rPr>
        <w:t>precej</w:t>
      </w:r>
      <w:r w:rsidRPr="008137B9">
        <w:rPr>
          <w:rStyle w:val="DZVodilnistavekChar"/>
          <w:noProof/>
        </w:rPr>
        <w:t xml:space="preserve"> izboljšal poslovanje, </w:t>
      </w:r>
      <w:r w:rsidR="00305B1E">
        <w:rPr>
          <w:rStyle w:val="DZVodilnistavekChar"/>
          <w:noProof/>
        </w:rPr>
        <w:t>do</w:t>
      </w:r>
      <w:r w:rsidR="00305B1E" w:rsidRPr="008137B9">
        <w:rPr>
          <w:rStyle w:val="DZVodilnistavekChar"/>
          <w:noProof/>
        </w:rPr>
        <w:t xml:space="preserve"> let</w:t>
      </w:r>
      <w:r w:rsidR="00305B1E">
        <w:rPr>
          <w:rStyle w:val="DZVodilnistavekChar"/>
          <w:noProof/>
        </w:rPr>
        <w:t>a</w:t>
      </w:r>
      <w:r w:rsidR="00305B1E" w:rsidRPr="008137B9">
        <w:rPr>
          <w:rStyle w:val="DZVodilnistavekChar"/>
          <w:noProof/>
        </w:rPr>
        <w:t xml:space="preserve"> 202</w:t>
      </w:r>
      <w:r w:rsidR="00305B1E">
        <w:rPr>
          <w:rStyle w:val="DZVodilnistavekChar"/>
          <w:noProof/>
        </w:rPr>
        <w:t xml:space="preserve">0 </w:t>
      </w:r>
      <w:r w:rsidR="00DD2D12">
        <w:rPr>
          <w:rStyle w:val="DZVodilnistavekChar"/>
          <w:noProof/>
        </w:rPr>
        <w:t xml:space="preserve">dobiček </w:t>
      </w:r>
      <w:r w:rsidRPr="008137B9">
        <w:rPr>
          <w:rStyle w:val="DZVodilnistavekChar"/>
          <w:noProof/>
        </w:rPr>
        <w:t xml:space="preserve">za </w:t>
      </w:r>
      <w:r w:rsidR="00305B1E">
        <w:rPr>
          <w:rStyle w:val="DZVodilnistavekChar"/>
          <w:noProof/>
        </w:rPr>
        <w:t xml:space="preserve">dve </w:t>
      </w:r>
      <w:r w:rsidR="00DD2D12">
        <w:rPr>
          <w:rStyle w:val="DZVodilnistavekChar"/>
          <w:noProof/>
        </w:rPr>
        <w:t>pe</w:t>
      </w:r>
      <w:r w:rsidRPr="008137B9">
        <w:rPr>
          <w:rStyle w:val="DZVodilnistavekChar"/>
          <w:noProof/>
        </w:rPr>
        <w:t>tin</w:t>
      </w:r>
      <w:r w:rsidR="00305B1E">
        <w:rPr>
          <w:rStyle w:val="DZVodilnistavekChar"/>
          <w:noProof/>
        </w:rPr>
        <w:t>i</w:t>
      </w:r>
      <w:r w:rsidR="00DD2D12">
        <w:rPr>
          <w:rStyle w:val="DZVodilnistavekChar"/>
          <w:noProof/>
        </w:rPr>
        <w:t xml:space="preserve"> z</w:t>
      </w:r>
      <w:r w:rsidR="00501E9A">
        <w:rPr>
          <w:rStyle w:val="DZVodilnistavekChar"/>
          <w:noProof/>
        </w:rPr>
        <w:t>manjšal</w:t>
      </w:r>
      <w:r w:rsidR="00305B1E">
        <w:rPr>
          <w:rStyle w:val="DZVodilnistavekChar"/>
          <w:noProof/>
        </w:rPr>
        <w:t xml:space="preserve">, </w:t>
      </w:r>
      <w:r w:rsidR="0049491E">
        <w:rPr>
          <w:rStyle w:val="DZVodilnistavekChar"/>
          <w:noProof/>
        </w:rPr>
        <w:t>potem</w:t>
      </w:r>
      <w:r w:rsidR="00305B1E">
        <w:rPr>
          <w:rStyle w:val="DZVodilnistavekChar"/>
          <w:noProof/>
        </w:rPr>
        <w:t xml:space="preserve"> pa močno izboljšal</w:t>
      </w:r>
      <w:r w:rsidR="0049491E">
        <w:rPr>
          <w:rStyle w:val="DZVodilnistavekChar"/>
          <w:noProof/>
        </w:rPr>
        <w:t>.</w:t>
      </w:r>
      <w:r w:rsidRPr="008137B9">
        <w:rPr>
          <w:rStyle w:val="DZBesediloChar"/>
          <w:noProof/>
        </w:rPr>
        <w:t xml:space="preserve"> </w:t>
      </w:r>
      <w:r w:rsidRPr="008137B9">
        <w:rPr>
          <w:noProof/>
        </w:rPr>
        <w:t xml:space="preserve">V okviru gospodarskih družb oddelka kopenski promet in cevovodni transport sta </w:t>
      </w:r>
      <w:r w:rsidR="00F20FF5">
        <w:rPr>
          <w:noProof/>
        </w:rPr>
        <w:t xml:space="preserve">bili v letu 2023 </w:t>
      </w:r>
      <w:r w:rsidRPr="008137B9">
        <w:rPr>
          <w:noProof/>
        </w:rPr>
        <w:t>po številu zaposlenih (</w:t>
      </w:r>
      <w:r w:rsidR="00EA4E87">
        <w:rPr>
          <w:noProof/>
        </w:rPr>
        <w:t>20</w:t>
      </w:r>
      <w:r w:rsidRPr="008137B9">
        <w:rPr>
          <w:noProof/>
        </w:rPr>
        <w:t>.</w:t>
      </w:r>
      <w:r w:rsidR="00F20FF5">
        <w:rPr>
          <w:noProof/>
        </w:rPr>
        <w:t>618</w:t>
      </w:r>
      <w:r w:rsidRPr="008137B9">
        <w:rPr>
          <w:noProof/>
          <w:vertAlign w:val="superscript"/>
        </w:rPr>
        <w:footnoteReference w:id="9"/>
      </w:r>
      <w:r w:rsidRPr="008137B9">
        <w:rPr>
          <w:noProof/>
        </w:rPr>
        <w:t xml:space="preserve"> in </w:t>
      </w:r>
      <w:r w:rsidR="00F20FF5">
        <w:rPr>
          <w:noProof/>
        </w:rPr>
        <w:t>6</w:t>
      </w:r>
      <w:r w:rsidRPr="008137B9">
        <w:rPr>
          <w:noProof/>
        </w:rPr>
        <w:t>.</w:t>
      </w:r>
      <w:r w:rsidR="00F20FF5">
        <w:rPr>
          <w:noProof/>
        </w:rPr>
        <w:t>053</w:t>
      </w:r>
      <w:r w:rsidRPr="008137B9">
        <w:rPr>
          <w:noProof/>
          <w:vertAlign w:val="superscript"/>
        </w:rPr>
        <w:footnoteReference w:id="10"/>
      </w:r>
      <w:r w:rsidRPr="008137B9">
        <w:rPr>
          <w:noProof/>
        </w:rPr>
        <w:t>) najpomembnejši dejavnosti cestni tovorni promet (podrazred H 49.410) in železniški promet (podrazreda H 49.100 in 49.200). V primerjavi z letom 2008 je bilo v letu 202</w:t>
      </w:r>
      <w:r w:rsidR="00D35198">
        <w:rPr>
          <w:noProof/>
        </w:rPr>
        <w:t>3</w:t>
      </w:r>
      <w:r w:rsidRPr="008137B9">
        <w:rPr>
          <w:noProof/>
        </w:rPr>
        <w:t xml:space="preserve"> v prvi dejavnosti </w:t>
      </w:r>
      <w:r w:rsidR="00D35198">
        <w:rPr>
          <w:noProof/>
        </w:rPr>
        <w:t xml:space="preserve">za </w:t>
      </w:r>
      <w:r w:rsidR="00EA12D2">
        <w:rPr>
          <w:noProof/>
        </w:rPr>
        <w:t>10</w:t>
      </w:r>
      <w:r w:rsidR="00973161">
        <w:rPr>
          <w:noProof/>
        </w:rPr>
        <w:t>.</w:t>
      </w:r>
      <w:r w:rsidR="00D35198">
        <w:rPr>
          <w:noProof/>
        </w:rPr>
        <w:t>248</w:t>
      </w:r>
      <w:r w:rsidRPr="008137B9">
        <w:rPr>
          <w:noProof/>
        </w:rPr>
        <w:t xml:space="preserve"> </w:t>
      </w:r>
      <w:r w:rsidR="00D35198">
        <w:rPr>
          <w:noProof/>
        </w:rPr>
        <w:t xml:space="preserve">oziroma </w:t>
      </w:r>
      <w:r w:rsidRPr="008137B9">
        <w:rPr>
          <w:noProof/>
        </w:rPr>
        <w:t xml:space="preserve">za </w:t>
      </w:r>
      <w:r w:rsidR="00A263BF">
        <w:rPr>
          <w:noProof/>
        </w:rPr>
        <w:t xml:space="preserve">še enkrat toliko </w:t>
      </w:r>
      <w:r w:rsidRPr="008137B9">
        <w:rPr>
          <w:noProof/>
        </w:rPr>
        <w:t xml:space="preserve">več, v drugi pa </w:t>
      </w:r>
      <w:r w:rsidR="00D35198">
        <w:rPr>
          <w:noProof/>
        </w:rPr>
        <w:t xml:space="preserve">za </w:t>
      </w:r>
      <w:r w:rsidRPr="008137B9">
        <w:rPr>
          <w:noProof/>
        </w:rPr>
        <w:t>3</w:t>
      </w:r>
      <w:r w:rsidR="00D35198">
        <w:rPr>
          <w:noProof/>
        </w:rPr>
        <w:t>031</w:t>
      </w:r>
      <w:r w:rsidRPr="008137B9">
        <w:rPr>
          <w:noProof/>
        </w:rPr>
        <w:t xml:space="preserve"> </w:t>
      </w:r>
      <w:r w:rsidR="00D35198">
        <w:rPr>
          <w:noProof/>
        </w:rPr>
        <w:t xml:space="preserve">oziroma za tretjino </w:t>
      </w:r>
      <w:r w:rsidRPr="008137B9">
        <w:rPr>
          <w:noProof/>
        </w:rPr>
        <w:t>manj</w:t>
      </w:r>
      <w:r w:rsidR="009D3BA2" w:rsidRPr="009D3BA2">
        <w:rPr>
          <w:noProof/>
        </w:rPr>
        <w:t xml:space="preserve"> </w:t>
      </w:r>
      <w:r w:rsidR="009D3BA2" w:rsidRPr="008137B9">
        <w:rPr>
          <w:noProof/>
        </w:rPr>
        <w:t>zaposlenih</w:t>
      </w:r>
      <w:r w:rsidRPr="008137B9">
        <w:rPr>
          <w:noProof/>
        </w:rPr>
        <w:t xml:space="preserve">. </w:t>
      </w:r>
      <w:r w:rsidRPr="004D4D22">
        <w:rPr>
          <w:noProof/>
        </w:rPr>
        <w:t>V cestnem tovornem prometu</w:t>
      </w:r>
      <w:r w:rsidRPr="008137B9">
        <w:rPr>
          <w:noProof/>
        </w:rPr>
        <w:t xml:space="preserve"> se je število zaposlenih močno povečalo zlasti </w:t>
      </w:r>
      <w:r w:rsidR="004D4D22">
        <w:rPr>
          <w:noProof/>
        </w:rPr>
        <w:t>med</w:t>
      </w:r>
      <w:r w:rsidR="00C37BB6">
        <w:rPr>
          <w:noProof/>
        </w:rPr>
        <w:t xml:space="preserve"> let</w:t>
      </w:r>
      <w:r w:rsidR="0005690B">
        <w:rPr>
          <w:noProof/>
        </w:rPr>
        <w:t>oma</w:t>
      </w:r>
      <w:r w:rsidR="00C37BB6">
        <w:rPr>
          <w:noProof/>
        </w:rPr>
        <w:t xml:space="preserve"> 2013</w:t>
      </w:r>
      <w:r w:rsidR="004D4D22">
        <w:rPr>
          <w:noProof/>
        </w:rPr>
        <w:t xml:space="preserve"> in 2019</w:t>
      </w:r>
      <w:r w:rsidRPr="008137B9">
        <w:rPr>
          <w:noProof/>
        </w:rPr>
        <w:t xml:space="preserve">, v letu 2020 </w:t>
      </w:r>
      <w:r w:rsidR="004D4D22">
        <w:rPr>
          <w:noProof/>
        </w:rPr>
        <w:t xml:space="preserve">se je ob epidemiji </w:t>
      </w:r>
      <w:r w:rsidR="004D4D22">
        <w:rPr>
          <w:noProof/>
        </w:rPr>
        <w:lastRenderedPageBreak/>
        <w:t>in zajezitvenih ukrepih</w:t>
      </w:r>
      <w:r w:rsidRPr="008137B9">
        <w:rPr>
          <w:noProof/>
        </w:rPr>
        <w:t xml:space="preserve"> malenkost z</w:t>
      </w:r>
      <w:r w:rsidR="000A6851">
        <w:rPr>
          <w:noProof/>
        </w:rPr>
        <w:t>manjšalo</w:t>
      </w:r>
      <w:r w:rsidRPr="008137B9">
        <w:rPr>
          <w:noProof/>
        </w:rPr>
        <w:t xml:space="preserve">, </w:t>
      </w:r>
      <w:r w:rsidR="004D4D22">
        <w:rPr>
          <w:noProof/>
        </w:rPr>
        <w:t>v let</w:t>
      </w:r>
      <w:r w:rsidR="00EA12D2">
        <w:rPr>
          <w:noProof/>
        </w:rPr>
        <w:t>ih</w:t>
      </w:r>
      <w:r w:rsidR="004D4D22">
        <w:rPr>
          <w:noProof/>
        </w:rPr>
        <w:t xml:space="preserve"> 2021</w:t>
      </w:r>
      <w:r w:rsidR="00A263BF">
        <w:rPr>
          <w:noProof/>
        </w:rPr>
        <w:t>,</w:t>
      </w:r>
      <w:r w:rsidR="00EA12D2">
        <w:rPr>
          <w:noProof/>
        </w:rPr>
        <w:t xml:space="preserve"> 2022 </w:t>
      </w:r>
      <w:r w:rsidR="00A263BF">
        <w:rPr>
          <w:noProof/>
        </w:rPr>
        <w:t xml:space="preserve">in 2023 </w:t>
      </w:r>
      <w:r w:rsidR="004D4D22">
        <w:rPr>
          <w:noProof/>
        </w:rPr>
        <w:t>pa</w:t>
      </w:r>
      <w:r w:rsidR="00265DFA">
        <w:rPr>
          <w:noProof/>
        </w:rPr>
        <w:t xml:space="preserve"> </w:t>
      </w:r>
      <w:r w:rsidR="004D4D22">
        <w:rPr>
          <w:noProof/>
        </w:rPr>
        <w:t xml:space="preserve">ponovno </w:t>
      </w:r>
      <w:r w:rsidR="00EA12D2">
        <w:rPr>
          <w:noProof/>
        </w:rPr>
        <w:t xml:space="preserve">malo </w:t>
      </w:r>
      <w:r w:rsidR="004D4D22">
        <w:rPr>
          <w:noProof/>
        </w:rPr>
        <w:t xml:space="preserve">naraslo </w:t>
      </w:r>
      <w:r w:rsidR="00EA12D2">
        <w:rPr>
          <w:noProof/>
        </w:rPr>
        <w:t>(</w:t>
      </w:r>
      <w:r w:rsidR="004D4D22">
        <w:rPr>
          <w:noProof/>
        </w:rPr>
        <w:t>za 1,7 </w:t>
      </w:r>
      <w:r w:rsidR="004D4D22" w:rsidRPr="00F131F6">
        <w:rPr>
          <w:noProof/>
        </w:rPr>
        <w:t>%</w:t>
      </w:r>
      <w:r w:rsidR="00A263BF">
        <w:rPr>
          <w:noProof/>
        </w:rPr>
        <w:t>,</w:t>
      </w:r>
      <w:r w:rsidR="00EA12D2">
        <w:rPr>
          <w:noProof/>
        </w:rPr>
        <w:t xml:space="preserve"> 1,4 %</w:t>
      </w:r>
      <w:r w:rsidR="00A263BF">
        <w:rPr>
          <w:noProof/>
        </w:rPr>
        <w:t xml:space="preserve"> in 0,3 %</w:t>
      </w:r>
      <w:r w:rsidR="00EA12D2">
        <w:rPr>
          <w:noProof/>
        </w:rPr>
        <w:t>)</w:t>
      </w:r>
      <w:r w:rsidRPr="00F131F6">
        <w:rPr>
          <w:noProof/>
        </w:rPr>
        <w:t xml:space="preserve">. </w:t>
      </w:r>
      <w:r w:rsidR="00116B03">
        <w:rPr>
          <w:noProof/>
        </w:rPr>
        <w:t>V železniškem prometu</w:t>
      </w:r>
      <w:r w:rsidRPr="002B2C12">
        <w:rPr>
          <w:noProof/>
        </w:rPr>
        <w:t xml:space="preserve"> </w:t>
      </w:r>
      <w:r w:rsidR="00550BEF" w:rsidRPr="002B2C12">
        <w:rPr>
          <w:noProof/>
        </w:rPr>
        <w:t>pa se</w:t>
      </w:r>
      <w:r w:rsidR="00550BEF">
        <w:rPr>
          <w:noProof/>
        </w:rPr>
        <w:t xml:space="preserve"> je v nasprotju s cestnim tovornim prometom</w:t>
      </w:r>
      <w:r w:rsidR="0005690B">
        <w:rPr>
          <w:noProof/>
        </w:rPr>
        <w:t xml:space="preserve"> prej naglo</w:t>
      </w:r>
      <w:r w:rsidRPr="008137B9">
        <w:rPr>
          <w:noProof/>
        </w:rPr>
        <w:t xml:space="preserve"> zmanjševanje števila zaposlenih</w:t>
      </w:r>
      <w:r w:rsidR="0005690B">
        <w:rPr>
          <w:noProof/>
        </w:rPr>
        <w:t>, ki je</w:t>
      </w:r>
      <w:r w:rsidRPr="008137B9">
        <w:rPr>
          <w:noProof/>
        </w:rPr>
        <w:t xml:space="preserve"> </w:t>
      </w:r>
      <w:r w:rsidR="004D4D22">
        <w:rPr>
          <w:noProof/>
        </w:rPr>
        <w:t xml:space="preserve">potekalo </w:t>
      </w:r>
      <w:r w:rsidRPr="008137B9">
        <w:rPr>
          <w:noProof/>
        </w:rPr>
        <w:t>kot del procesa postopne racionalizacije poslovanja</w:t>
      </w:r>
      <w:r w:rsidR="0005690B">
        <w:rPr>
          <w:noProof/>
        </w:rPr>
        <w:t>, med letoma</w:t>
      </w:r>
      <w:r w:rsidRPr="008137B9">
        <w:rPr>
          <w:noProof/>
        </w:rPr>
        <w:t xml:space="preserve"> </w:t>
      </w:r>
      <w:r w:rsidR="0005690B">
        <w:rPr>
          <w:noProof/>
        </w:rPr>
        <w:t>2013 in 2019 upočasnilo</w:t>
      </w:r>
      <w:r w:rsidR="002163A7">
        <w:rPr>
          <w:noProof/>
        </w:rPr>
        <w:t>,</w:t>
      </w:r>
      <w:r w:rsidR="0005690B">
        <w:rPr>
          <w:noProof/>
        </w:rPr>
        <w:t xml:space="preserve"> se spet okrepilo v </w:t>
      </w:r>
      <w:r w:rsidR="002163A7">
        <w:rPr>
          <w:noProof/>
        </w:rPr>
        <w:t>nasle</w:t>
      </w:r>
      <w:r w:rsidR="0005690B">
        <w:rPr>
          <w:noProof/>
        </w:rPr>
        <w:t>dnjih dveh letih</w:t>
      </w:r>
      <w:r w:rsidR="002163A7">
        <w:rPr>
          <w:noProof/>
        </w:rPr>
        <w:t>,</w:t>
      </w:r>
      <w:r w:rsidR="0005690B">
        <w:rPr>
          <w:noProof/>
        </w:rPr>
        <w:t xml:space="preserve"> v let</w:t>
      </w:r>
      <w:r w:rsidR="00A263BF">
        <w:rPr>
          <w:noProof/>
        </w:rPr>
        <w:t>ih</w:t>
      </w:r>
      <w:r w:rsidR="0005690B">
        <w:rPr>
          <w:noProof/>
        </w:rPr>
        <w:t xml:space="preserve"> 202</w:t>
      </w:r>
      <w:r w:rsidR="002163A7">
        <w:rPr>
          <w:noProof/>
        </w:rPr>
        <w:t>2</w:t>
      </w:r>
      <w:r w:rsidR="00A263BF">
        <w:rPr>
          <w:noProof/>
        </w:rPr>
        <w:t xml:space="preserve"> in 2023</w:t>
      </w:r>
      <w:r w:rsidR="002163A7">
        <w:rPr>
          <w:noProof/>
        </w:rPr>
        <w:t xml:space="preserve"> pa se</w:t>
      </w:r>
      <w:r w:rsidR="0005690B">
        <w:rPr>
          <w:noProof/>
        </w:rPr>
        <w:t xml:space="preserve"> je </w:t>
      </w:r>
      <w:r w:rsidR="002163A7">
        <w:rPr>
          <w:noProof/>
        </w:rPr>
        <w:t>po dolg</w:t>
      </w:r>
      <w:r w:rsidR="006C7CD0">
        <w:rPr>
          <w:noProof/>
        </w:rPr>
        <w:t>em času</w:t>
      </w:r>
      <w:r w:rsidR="002163A7">
        <w:rPr>
          <w:noProof/>
        </w:rPr>
        <w:t xml:space="preserve"> </w:t>
      </w:r>
      <w:r w:rsidR="00D83B6D">
        <w:rPr>
          <w:noProof/>
        </w:rPr>
        <w:t>ponovno</w:t>
      </w:r>
      <w:r w:rsidR="002163A7">
        <w:rPr>
          <w:noProof/>
        </w:rPr>
        <w:t xml:space="preserve"> malo </w:t>
      </w:r>
      <w:r w:rsidR="002163A7" w:rsidRPr="00410DE0">
        <w:rPr>
          <w:noProof/>
        </w:rPr>
        <w:t>povečalo</w:t>
      </w:r>
      <w:r w:rsidRPr="008137B9">
        <w:rPr>
          <w:noProof/>
        </w:rPr>
        <w:t xml:space="preserve">. Celotna dejavnost kopenski promet in cevovodni transport je leta 2008 še imela skromen dobiček, a se je nato do leta 2011 poslovanje močno poslabšalo, tako da so zabeležili neto čisto izgubo v višini 94 mio EUR. V naslednjih letih se je poslovanje izboljševalo, do neto čistega dobička 142 mio EUR v letu 2017, ki je </w:t>
      </w:r>
      <w:r w:rsidR="00296174">
        <w:rPr>
          <w:noProof/>
        </w:rPr>
        <w:t>do</w:t>
      </w:r>
      <w:r w:rsidRPr="008137B9">
        <w:rPr>
          <w:noProof/>
        </w:rPr>
        <w:t xml:space="preserve"> let</w:t>
      </w:r>
      <w:r w:rsidR="00296174">
        <w:rPr>
          <w:noProof/>
        </w:rPr>
        <w:t>a</w:t>
      </w:r>
      <w:r w:rsidRPr="008137B9">
        <w:rPr>
          <w:noProof/>
        </w:rPr>
        <w:t xml:space="preserve"> 2020 upadel na 85 mio EUR. K </w:t>
      </w:r>
      <w:r w:rsidR="008B09F6">
        <w:rPr>
          <w:noProof/>
        </w:rPr>
        <w:t>temu je zaradi omejitev poslovanja ob epidem</w:t>
      </w:r>
      <w:r w:rsidR="00CD74B1">
        <w:rPr>
          <w:noProof/>
        </w:rPr>
        <w:t>ioloških</w:t>
      </w:r>
      <w:r w:rsidR="00116B03">
        <w:rPr>
          <w:noProof/>
        </w:rPr>
        <w:t xml:space="preserve"> </w:t>
      </w:r>
      <w:r w:rsidR="008B09F6">
        <w:rPr>
          <w:noProof/>
        </w:rPr>
        <w:t>zajezitvenih ukrepih</w:t>
      </w:r>
      <w:r w:rsidRPr="008137B9">
        <w:rPr>
          <w:noProof/>
        </w:rPr>
        <w:t xml:space="preserve"> največ prispevala dejavnost medkrajevnega cestnega potniškega prometa</w:t>
      </w:r>
      <w:r w:rsidR="00296174">
        <w:rPr>
          <w:noProof/>
        </w:rPr>
        <w:t>,</w:t>
      </w:r>
      <w:r w:rsidR="00C42A64">
        <w:rPr>
          <w:noProof/>
        </w:rPr>
        <w:t xml:space="preserve"> </w:t>
      </w:r>
      <w:r w:rsidR="00296174">
        <w:rPr>
          <w:noProof/>
        </w:rPr>
        <w:t>po</w:t>
      </w:r>
      <w:r w:rsidR="00732158">
        <w:rPr>
          <w:noProof/>
        </w:rPr>
        <w:t xml:space="preserve"> odpravi ukrepov </w:t>
      </w:r>
      <w:r w:rsidR="00296174">
        <w:rPr>
          <w:noProof/>
        </w:rPr>
        <w:t xml:space="preserve">pa se je </w:t>
      </w:r>
      <w:r w:rsidR="00732158">
        <w:rPr>
          <w:noProof/>
        </w:rPr>
        <w:t xml:space="preserve">do leta 2023 </w:t>
      </w:r>
      <w:r w:rsidR="00296174">
        <w:rPr>
          <w:noProof/>
        </w:rPr>
        <w:t xml:space="preserve">njeno </w:t>
      </w:r>
      <w:r w:rsidR="00732158">
        <w:rPr>
          <w:noProof/>
        </w:rPr>
        <w:t>poslovanje močno izboljšalo</w:t>
      </w:r>
      <w:r w:rsidR="00D4161C">
        <w:rPr>
          <w:noProof/>
        </w:rPr>
        <w:t>,</w:t>
      </w:r>
      <w:r w:rsidR="00C42A64">
        <w:rPr>
          <w:noProof/>
        </w:rPr>
        <w:t xml:space="preserve"> uspešnost poslovanja v oddelku H 49 </w:t>
      </w:r>
      <w:r w:rsidR="00732158">
        <w:rPr>
          <w:noProof/>
        </w:rPr>
        <w:t xml:space="preserve">pa je </w:t>
      </w:r>
      <w:r w:rsidR="00A8454B">
        <w:rPr>
          <w:noProof/>
        </w:rPr>
        <w:t>dopolni</w:t>
      </w:r>
      <w:r w:rsidR="00732158">
        <w:rPr>
          <w:noProof/>
        </w:rPr>
        <w:t xml:space="preserve">la </w:t>
      </w:r>
      <w:r w:rsidR="00296174">
        <w:rPr>
          <w:noProof/>
        </w:rPr>
        <w:t>tudi</w:t>
      </w:r>
      <w:r w:rsidR="00732158">
        <w:rPr>
          <w:noProof/>
        </w:rPr>
        <w:t xml:space="preserve"> rast dobička v cestnem tovornem prometu</w:t>
      </w:r>
      <w:r w:rsidR="00EC508D">
        <w:rPr>
          <w:noProof/>
        </w:rPr>
        <w:t xml:space="preserve">, </w:t>
      </w:r>
      <w:r w:rsidR="00296174">
        <w:rPr>
          <w:noProof/>
        </w:rPr>
        <w:t xml:space="preserve">zlasti </w:t>
      </w:r>
      <w:r w:rsidR="00732158">
        <w:rPr>
          <w:noProof/>
        </w:rPr>
        <w:t>v letu 2022</w:t>
      </w:r>
      <w:r w:rsidR="00F774AD">
        <w:rPr>
          <w:noProof/>
        </w:rPr>
        <w:t xml:space="preserve">. V letu 2023 je </w:t>
      </w:r>
      <w:r w:rsidR="00A8454B">
        <w:rPr>
          <w:noProof/>
        </w:rPr>
        <w:t>neto čisti dobiček v oddelku H 49 presegel 222 mio EUR (rast 18 %)</w:t>
      </w:r>
      <w:r w:rsidR="00DD55ED">
        <w:rPr>
          <w:noProof/>
        </w:rPr>
        <w:t>,</w:t>
      </w:r>
      <w:r w:rsidR="00A8454B">
        <w:rPr>
          <w:noProof/>
        </w:rPr>
        <w:t xml:space="preserve"> </w:t>
      </w:r>
      <w:r w:rsidR="00F774AD">
        <w:rPr>
          <w:noProof/>
        </w:rPr>
        <w:t xml:space="preserve">k </w:t>
      </w:r>
      <w:r w:rsidR="00A8454B">
        <w:rPr>
          <w:noProof/>
        </w:rPr>
        <w:t>čem</w:t>
      </w:r>
      <w:r w:rsidR="00465343">
        <w:rPr>
          <w:noProof/>
        </w:rPr>
        <w:t>u</w:t>
      </w:r>
      <w:r w:rsidR="00A8454B">
        <w:rPr>
          <w:noProof/>
        </w:rPr>
        <w:t>r je</w:t>
      </w:r>
      <w:r w:rsidR="00F774AD">
        <w:rPr>
          <w:noProof/>
        </w:rPr>
        <w:t xml:space="preserve"> največ prispevalo nadaljnje izboljšanje v avtobusnem in železniškem potniškem </w:t>
      </w:r>
      <w:r w:rsidR="00296174">
        <w:rPr>
          <w:noProof/>
        </w:rPr>
        <w:t>prometu</w:t>
      </w:r>
      <w:r w:rsidR="00A8454B">
        <w:rPr>
          <w:noProof/>
        </w:rPr>
        <w:t>.</w:t>
      </w:r>
    </w:p>
    <w:p w14:paraId="1BFCD503" w14:textId="44A1C5F3" w:rsidR="005B3835" w:rsidRPr="00714F84" w:rsidRDefault="00355D96" w:rsidP="00714F84">
      <w:pPr>
        <w:pStyle w:val="Napis"/>
      </w:pPr>
      <w:bookmarkStart w:id="33" w:name="_Ref114217643"/>
      <w:bookmarkEnd w:id="32"/>
      <w:r w:rsidRPr="00714F84">
        <w:t xml:space="preserve">Slika </w:t>
      </w:r>
      <w:r w:rsidRPr="00714F84">
        <w:fldChar w:fldCharType="begin"/>
      </w:r>
      <w:r w:rsidRPr="00714F84">
        <w:instrText xml:space="preserve"> SEQ Slika \* ARABIC </w:instrText>
      </w:r>
      <w:r w:rsidRPr="00714F84">
        <w:fldChar w:fldCharType="separate"/>
      </w:r>
      <w:r w:rsidR="00B002B7" w:rsidRPr="00714F84">
        <w:t>3</w:t>
      </w:r>
      <w:r w:rsidRPr="00714F84">
        <w:fldChar w:fldCharType="end"/>
      </w:r>
      <w:bookmarkEnd w:id="33"/>
      <w:r w:rsidRPr="00714F84">
        <w:rPr>
          <w:rStyle w:val="DZBesediloChar"/>
          <w:szCs w:val="20"/>
        </w:rPr>
        <w:t xml:space="preserve">: </w:t>
      </w:r>
      <w:r w:rsidR="00890A5E" w:rsidRPr="00714F84">
        <w:t>Zaposlenost se je</w:t>
      </w:r>
      <w:r w:rsidR="00C87758">
        <w:t xml:space="preserve"> v zadnjem desetletju</w:t>
      </w:r>
      <w:r w:rsidR="00890A5E" w:rsidRPr="00714F84">
        <w:t xml:space="preserve"> v cestnem tovornem prometu</w:t>
      </w:r>
      <w:r w:rsidR="00877F23" w:rsidRPr="00714F84">
        <w:t xml:space="preserve"> močno povečala, v železniškem prometu</w:t>
      </w:r>
      <w:r w:rsidR="00024EBE" w:rsidRPr="00714F84">
        <w:t>*</w:t>
      </w:r>
      <w:r w:rsidR="00877F23" w:rsidRPr="00714F84">
        <w:t xml:space="preserve"> pa zmanjšala, </w:t>
      </w:r>
      <w:r w:rsidR="00C87758">
        <w:t>cestni tovorni promet je v tem obdobju močno povečal tudi neto čisti dobiček</w:t>
      </w:r>
      <w:r w:rsidR="009F6074" w:rsidRPr="00714F84">
        <w:t xml:space="preserve"> </w:t>
      </w:r>
    </w:p>
    <w:p w14:paraId="4D8486AA" w14:textId="62F99D70" w:rsidR="00355D96" w:rsidRDefault="005A6343" w:rsidP="00714F84">
      <w:pPr>
        <w:pStyle w:val="DZBesedilo"/>
        <w:rPr>
          <w:rStyle w:val="DZBesediloChar"/>
          <w:szCs w:val="20"/>
        </w:rPr>
      </w:pPr>
      <w:r w:rsidRPr="005A6343">
        <w:rPr>
          <w:rStyle w:val="DZBesediloChar"/>
          <w:noProof/>
        </w:rPr>
        <w:drawing>
          <wp:inline distT="0" distB="0" distL="0" distR="0" wp14:anchorId="41C1445E" wp14:editId="4C667284">
            <wp:extent cx="5860218" cy="243131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86" cy="243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D96" w:rsidRPr="00355D96">
        <w:rPr>
          <w:rStyle w:val="DZBesediloChar"/>
          <w:szCs w:val="20"/>
        </w:rPr>
        <w:t xml:space="preserve"> </w:t>
      </w:r>
      <w:r w:rsidR="00D17D55">
        <w:rPr>
          <w:rStyle w:val="DZBesediloChar"/>
          <w:szCs w:val="20"/>
        </w:rPr>
        <w:t xml:space="preserve">    </w:t>
      </w:r>
    </w:p>
    <w:p w14:paraId="702F18E6" w14:textId="07A5E7B5" w:rsidR="002F0A04" w:rsidRDefault="002F0A04" w:rsidP="002F0A04">
      <w:pPr>
        <w:pStyle w:val="VirUMAR"/>
      </w:pPr>
      <w:r w:rsidRPr="008F6BED">
        <w:t xml:space="preserve">Vir podatkov: </w:t>
      </w:r>
      <w:r>
        <w:fldChar w:fldCharType="begin"/>
      </w:r>
      <w:r w:rsidR="007309C9">
        <w:instrText xml:space="preserve"> ADDIN ZOTERO_ITEM CSL_CITATION {"citationID":"FhFPzOUW","properties":{"formattedCitation":"(AJPES, 2022)","plainCitation":"(AJPES, 2022)","noteIndex":0},"citationItems":[{"id":1801,"uris":["http://zotero.org/users/8372339/items/IC2SCV5C"],"uri":["http://zotero.org/users/8372339/items/IC2SCV5C"],"itemData":{"id":1801,"type":"report","event-place":"Ljubljana","publisher":"Agencija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="007309C9" w:rsidRPr="007309C9">
        <w:t xml:space="preserve">AJPES </w:t>
      </w:r>
      <w:r w:rsidR="000F128C">
        <w:t>(</w:t>
      </w:r>
      <w:r w:rsidR="007309C9" w:rsidRPr="007309C9">
        <w:t>202</w:t>
      </w:r>
      <w:r w:rsidR="00E24CE8">
        <w:t>4</w:t>
      </w:r>
      <w:r w:rsidR="007309C9" w:rsidRPr="007309C9">
        <w:t>)</w:t>
      </w:r>
      <w:r>
        <w:fldChar w:fldCharType="end"/>
      </w:r>
      <w:r w:rsidRPr="008F6BED">
        <w:t>, lastni izračuni.</w:t>
      </w:r>
    </w:p>
    <w:p w14:paraId="7CBD065F" w14:textId="52809657" w:rsidR="00024EBE" w:rsidRDefault="00024EBE" w:rsidP="002F0A04">
      <w:pPr>
        <w:pStyle w:val="VirUMAR"/>
      </w:pPr>
      <w:r>
        <w:t>Opomba*: V vseh letih upoštevamo tudi družbe, ki so bile leta 2008 del enovite družbe Slovenske železnice</w:t>
      </w:r>
      <w:r w:rsidR="00C96858">
        <w:t>,</w:t>
      </w:r>
      <w:r w:rsidR="00B52FEB">
        <w:t xml:space="preserve"> </w:t>
      </w:r>
      <w:r w:rsidR="00776CA7">
        <w:t>in</w:t>
      </w:r>
      <w:r w:rsidR="00B52FEB">
        <w:t xml:space="preserve"> družbo SŽ – Centralne delavnice (kasneje preoblikovano v družbo SŽ – Vleka in tehnika).</w:t>
      </w:r>
    </w:p>
    <w:p w14:paraId="73A53941" w14:textId="77777777" w:rsidR="005B3835" w:rsidRDefault="005B3835" w:rsidP="0069729B">
      <w:pPr>
        <w:pStyle w:val="DZBesedilo"/>
      </w:pPr>
    </w:p>
    <w:p w14:paraId="5B5D79FA" w14:textId="71390FDA" w:rsidR="00F774AD" w:rsidRDefault="007E123C" w:rsidP="002B5A12">
      <w:pPr>
        <w:pStyle w:val="BesediloUMAR"/>
        <w:rPr>
          <w:rStyle w:val="DZBesediloChar"/>
          <w:noProof/>
        </w:rPr>
      </w:pPr>
      <w:bookmarkStart w:id="34" w:name="_Hlk113619242"/>
      <w:r w:rsidRPr="007374DA">
        <w:rPr>
          <w:rStyle w:val="DZVodilnistavekChar"/>
          <w:noProof/>
        </w:rPr>
        <w:t xml:space="preserve">V železniškem prometu </w:t>
      </w:r>
      <w:r w:rsidR="00C87758" w:rsidRPr="007374DA">
        <w:rPr>
          <w:rStyle w:val="DZVodilnistavekChar"/>
          <w:noProof/>
        </w:rPr>
        <w:t>se je</w:t>
      </w:r>
      <w:r w:rsidR="009965EC" w:rsidRPr="007374DA">
        <w:rPr>
          <w:rStyle w:val="DZVodilnistavekChar"/>
          <w:noProof/>
        </w:rPr>
        <w:t>,</w:t>
      </w:r>
      <w:r w:rsidR="00C87758" w:rsidRPr="007374DA">
        <w:rPr>
          <w:rStyle w:val="DZVodilnistavekChar"/>
          <w:noProof/>
        </w:rPr>
        <w:t xml:space="preserve"> </w:t>
      </w:r>
      <w:r w:rsidR="00362CD2" w:rsidRPr="007374DA">
        <w:rPr>
          <w:rStyle w:val="DZVodilnistavekChar"/>
          <w:noProof/>
        </w:rPr>
        <w:t>po močnem padcu v letu</w:t>
      </w:r>
      <w:r w:rsidRPr="007374DA">
        <w:rPr>
          <w:rStyle w:val="DZVodilnistavekChar"/>
          <w:noProof/>
        </w:rPr>
        <w:t xml:space="preserve"> 2020</w:t>
      </w:r>
      <w:r w:rsidR="009965EC" w:rsidRPr="007374DA">
        <w:rPr>
          <w:rStyle w:val="DZVodilnistavekChar"/>
          <w:noProof/>
        </w:rPr>
        <w:t>,</w:t>
      </w:r>
      <w:r w:rsidR="00C87758" w:rsidRPr="007374DA">
        <w:rPr>
          <w:rStyle w:val="DZVodilnistavekChar"/>
          <w:noProof/>
        </w:rPr>
        <w:t xml:space="preserve"> neto </w:t>
      </w:r>
      <w:r w:rsidR="009965EC" w:rsidRPr="007374DA">
        <w:rPr>
          <w:rStyle w:val="DZVodilnistavekChar"/>
          <w:noProof/>
        </w:rPr>
        <w:t xml:space="preserve">čisti </w:t>
      </w:r>
      <w:r w:rsidR="00C87758" w:rsidRPr="007374DA">
        <w:rPr>
          <w:rStyle w:val="DZVodilnistavekChar"/>
          <w:noProof/>
        </w:rPr>
        <w:t xml:space="preserve">dobiček v naslednjih letih spet povečeval </w:t>
      </w:r>
      <w:r w:rsidR="009965EC" w:rsidRPr="007374DA">
        <w:rPr>
          <w:rStyle w:val="DZVodilnistavekChar"/>
          <w:noProof/>
        </w:rPr>
        <w:t>in</w:t>
      </w:r>
      <w:r w:rsidR="00C87758" w:rsidRPr="007374DA">
        <w:rPr>
          <w:rStyle w:val="DZVodilnistavekChar"/>
          <w:noProof/>
        </w:rPr>
        <w:t xml:space="preserve"> </w:t>
      </w:r>
      <w:r w:rsidR="00E3414C" w:rsidRPr="007374DA">
        <w:rPr>
          <w:rStyle w:val="DZVodilnistavekChar"/>
          <w:noProof/>
        </w:rPr>
        <w:t xml:space="preserve">je </w:t>
      </w:r>
      <w:r w:rsidR="00C87758" w:rsidRPr="007374DA">
        <w:rPr>
          <w:rStyle w:val="DZVodilnistavekChar"/>
          <w:noProof/>
        </w:rPr>
        <w:t xml:space="preserve">v letu 2023 </w:t>
      </w:r>
      <w:r w:rsidR="009965EC" w:rsidRPr="007374DA">
        <w:rPr>
          <w:rStyle w:val="DZVodilnistavekChar"/>
          <w:noProof/>
        </w:rPr>
        <w:t xml:space="preserve">presegel prej </w:t>
      </w:r>
      <w:r w:rsidR="00C87758" w:rsidRPr="007374DA">
        <w:rPr>
          <w:rStyle w:val="DZVodilnistavekChar"/>
          <w:noProof/>
        </w:rPr>
        <w:t>najvišj</w:t>
      </w:r>
      <w:r w:rsidR="00E3414C" w:rsidRPr="007374DA">
        <w:rPr>
          <w:rStyle w:val="DZVodilnistavekChar"/>
          <w:noProof/>
        </w:rPr>
        <w:t>o</w:t>
      </w:r>
      <w:r w:rsidR="00C87758" w:rsidRPr="007374DA">
        <w:rPr>
          <w:rStyle w:val="DZVodilnistavekChar"/>
          <w:noProof/>
        </w:rPr>
        <w:t xml:space="preserve"> vrednost iz leta 2018.</w:t>
      </w:r>
      <w:r w:rsidR="00362CD2" w:rsidRPr="007374DA">
        <w:rPr>
          <w:rStyle w:val="DZVodilnistavekChar"/>
          <w:noProof/>
        </w:rPr>
        <w:t xml:space="preserve"> </w:t>
      </w:r>
      <w:r w:rsidRPr="007374DA">
        <w:rPr>
          <w:rStyle w:val="DZBesediloChar"/>
          <w:noProof/>
        </w:rPr>
        <w:t xml:space="preserve">Poslovanje </w:t>
      </w:r>
      <w:r w:rsidR="006D2AA6" w:rsidRPr="007374DA">
        <w:rPr>
          <w:rStyle w:val="DZBesediloChar"/>
          <w:noProof/>
        </w:rPr>
        <w:t xml:space="preserve">v železniškem prometu </w:t>
      </w:r>
      <w:r w:rsidRPr="007374DA">
        <w:rPr>
          <w:rStyle w:val="DZBesediloChar"/>
          <w:noProof/>
        </w:rPr>
        <w:t>se je po letu 2009, ko je bila ustvarjena velika neto čista izguba v višini</w:t>
      </w:r>
      <w:r w:rsidRPr="008137B9">
        <w:rPr>
          <w:rStyle w:val="DZBesediloChar"/>
          <w:noProof/>
        </w:rPr>
        <w:t xml:space="preserve"> 30 mio EUR, </w:t>
      </w:r>
      <w:r w:rsidR="00F035AB">
        <w:rPr>
          <w:rStyle w:val="DZBesediloChar"/>
          <w:noProof/>
        </w:rPr>
        <w:t xml:space="preserve">večinoma </w:t>
      </w:r>
      <w:r w:rsidRPr="008137B9">
        <w:rPr>
          <w:rStyle w:val="DZBesediloChar"/>
          <w:noProof/>
        </w:rPr>
        <w:t xml:space="preserve">izboljševalo </w:t>
      </w:r>
      <w:bookmarkEnd w:id="34"/>
      <w:r w:rsidRPr="008137B9">
        <w:rPr>
          <w:rStyle w:val="DZBesediloChar"/>
          <w:noProof/>
        </w:rPr>
        <w:t>do leta 201</w:t>
      </w:r>
      <w:r w:rsidR="00DE5AE3">
        <w:rPr>
          <w:rStyle w:val="DZBesediloChar"/>
          <w:noProof/>
        </w:rPr>
        <w:t>8</w:t>
      </w:r>
      <w:r w:rsidR="004978A9">
        <w:rPr>
          <w:rStyle w:val="DZBesediloChar"/>
          <w:noProof/>
        </w:rPr>
        <w:t>,</w:t>
      </w:r>
      <w:r w:rsidRPr="008137B9">
        <w:rPr>
          <w:rStyle w:val="DZBesediloChar"/>
          <w:noProof/>
        </w:rPr>
        <w:t xml:space="preserve"> </w:t>
      </w:r>
      <w:r w:rsidR="00DE5AE3">
        <w:rPr>
          <w:rStyle w:val="DZBesediloChar"/>
          <w:noProof/>
        </w:rPr>
        <w:t>ko je</w:t>
      </w:r>
      <w:r w:rsidRPr="008137B9">
        <w:rPr>
          <w:rStyle w:val="DZBesediloChar"/>
          <w:noProof/>
        </w:rPr>
        <w:t xml:space="preserve"> dobiček p</w:t>
      </w:r>
      <w:r w:rsidR="00DE5AE3">
        <w:rPr>
          <w:rStyle w:val="DZBesediloChar"/>
          <w:noProof/>
        </w:rPr>
        <w:t>resegel</w:t>
      </w:r>
      <w:r w:rsidRPr="008137B9">
        <w:rPr>
          <w:rStyle w:val="DZBesediloChar"/>
          <w:noProof/>
        </w:rPr>
        <w:t xml:space="preserve"> </w:t>
      </w:r>
      <w:r w:rsidR="00D44ED4">
        <w:rPr>
          <w:rStyle w:val="DZBesediloChar"/>
          <w:noProof/>
        </w:rPr>
        <w:t>45</w:t>
      </w:r>
      <w:r w:rsidRPr="008137B9">
        <w:rPr>
          <w:rStyle w:val="DZBesediloChar"/>
          <w:noProof/>
        </w:rPr>
        <w:t xml:space="preserve"> mio EUR</w:t>
      </w:r>
      <w:r w:rsidR="00B42634">
        <w:rPr>
          <w:rStyle w:val="DZBesediloChar"/>
          <w:noProof/>
        </w:rPr>
        <w:t>.</w:t>
      </w:r>
      <w:r w:rsidRPr="008137B9">
        <w:rPr>
          <w:rStyle w:val="DZBesediloChar"/>
          <w:noProof/>
        </w:rPr>
        <w:t xml:space="preserve"> </w:t>
      </w:r>
      <w:r w:rsidR="00B42634">
        <w:rPr>
          <w:rStyle w:val="DZBesediloChar"/>
          <w:noProof/>
        </w:rPr>
        <w:t xml:space="preserve">Že pred epidemijo se je </w:t>
      </w:r>
      <w:r w:rsidR="003911B5">
        <w:rPr>
          <w:rStyle w:val="DZBesediloChar"/>
          <w:noProof/>
        </w:rPr>
        <w:t xml:space="preserve">nato </w:t>
      </w:r>
      <w:r w:rsidR="00B42634">
        <w:rPr>
          <w:rStyle w:val="DZBesediloChar"/>
          <w:noProof/>
        </w:rPr>
        <w:t xml:space="preserve">dobiček </w:t>
      </w:r>
      <w:r w:rsidR="00FE73BC">
        <w:rPr>
          <w:rStyle w:val="DZBesediloChar"/>
          <w:noProof/>
        </w:rPr>
        <w:t>v železniškem prometu</w:t>
      </w:r>
      <w:r w:rsidR="00B42634">
        <w:rPr>
          <w:rStyle w:val="DZBesediloChar"/>
          <w:noProof/>
        </w:rPr>
        <w:t xml:space="preserve"> z</w:t>
      </w:r>
      <w:r w:rsidR="00A308CF">
        <w:rPr>
          <w:rStyle w:val="DZBesediloChar"/>
          <w:noProof/>
        </w:rPr>
        <w:t>manjševal</w:t>
      </w:r>
      <w:r w:rsidR="00B42634">
        <w:rPr>
          <w:rStyle w:val="DZBesediloChar"/>
          <w:noProof/>
        </w:rPr>
        <w:t xml:space="preserve"> in v letu 2020 upadel pod 7 mio EUR, </w:t>
      </w:r>
      <w:r w:rsidRPr="008137B9">
        <w:rPr>
          <w:rStyle w:val="DZBesediloChar"/>
          <w:noProof/>
        </w:rPr>
        <w:t xml:space="preserve">v </w:t>
      </w:r>
      <w:r w:rsidR="00DE5AE3">
        <w:rPr>
          <w:rStyle w:val="DZBesediloChar"/>
          <w:noProof/>
        </w:rPr>
        <w:t xml:space="preserve">naslednjih </w:t>
      </w:r>
      <w:r w:rsidR="00B42634">
        <w:rPr>
          <w:rStyle w:val="DZBesediloChar"/>
          <w:noProof/>
        </w:rPr>
        <w:t>let</w:t>
      </w:r>
      <w:r w:rsidR="00DE5AE3">
        <w:rPr>
          <w:rStyle w:val="DZBesediloChar"/>
          <w:noProof/>
        </w:rPr>
        <w:t>ih</w:t>
      </w:r>
      <w:r w:rsidR="00C437D6">
        <w:rPr>
          <w:rStyle w:val="DZBesediloChar"/>
          <w:noProof/>
        </w:rPr>
        <w:t xml:space="preserve"> </w:t>
      </w:r>
      <w:r w:rsidR="00B42634">
        <w:rPr>
          <w:rStyle w:val="DZBesediloChar"/>
          <w:noProof/>
        </w:rPr>
        <w:t>pa se je spet močno povečal in</w:t>
      </w:r>
      <w:r w:rsidR="001B4ACA">
        <w:rPr>
          <w:rStyle w:val="DZBesediloChar"/>
          <w:noProof/>
        </w:rPr>
        <w:t xml:space="preserve"> v letu 202</w:t>
      </w:r>
      <w:r w:rsidR="00DE5AE3">
        <w:rPr>
          <w:rStyle w:val="DZBesediloChar"/>
          <w:noProof/>
        </w:rPr>
        <w:t>3</w:t>
      </w:r>
      <w:r w:rsidR="001B4ACA">
        <w:rPr>
          <w:rStyle w:val="DZBesediloChar"/>
          <w:noProof/>
        </w:rPr>
        <w:t xml:space="preserve"> znašal</w:t>
      </w:r>
      <w:r w:rsidR="00F5284E">
        <w:rPr>
          <w:rStyle w:val="DZBesediloChar"/>
          <w:noProof/>
        </w:rPr>
        <w:t xml:space="preserve"> </w:t>
      </w:r>
      <w:r w:rsidR="00DE5AE3">
        <w:rPr>
          <w:rStyle w:val="DZBesediloChar"/>
          <w:noProof/>
        </w:rPr>
        <w:t>5</w:t>
      </w:r>
      <w:r w:rsidR="00F5284E">
        <w:rPr>
          <w:rStyle w:val="DZBesediloChar"/>
          <w:noProof/>
        </w:rPr>
        <w:t>3 mio EUR</w:t>
      </w:r>
      <w:r w:rsidR="00822DEF">
        <w:rPr>
          <w:rStyle w:val="DZBesediloChar"/>
          <w:noProof/>
        </w:rPr>
        <w:t xml:space="preserve"> (</w:t>
      </w:r>
      <w:r w:rsidR="002F62F8">
        <w:rPr>
          <w:rStyle w:val="DZBesediloChar"/>
          <w:noProof/>
        </w:rPr>
        <w:t xml:space="preserve">v izračunu </w:t>
      </w:r>
      <w:r w:rsidR="00822DEF">
        <w:rPr>
          <w:rStyle w:val="DZBesediloChar"/>
          <w:noProof/>
        </w:rPr>
        <w:t>vs</w:t>
      </w:r>
      <w:r w:rsidR="002F62F8">
        <w:rPr>
          <w:rStyle w:val="DZBesediloChar"/>
          <w:noProof/>
        </w:rPr>
        <w:t>eh</w:t>
      </w:r>
      <w:r w:rsidR="00822DEF">
        <w:rPr>
          <w:rStyle w:val="DZBesediloChar"/>
          <w:noProof/>
        </w:rPr>
        <w:t xml:space="preserve"> omenjeni</w:t>
      </w:r>
      <w:r w:rsidR="002F62F8">
        <w:rPr>
          <w:rStyle w:val="DZBesediloChar"/>
          <w:noProof/>
        </w:rPr>
        <w:t>h</w:t>
      </w:r>
      <w:r w:rsidR="00822DEF">
        <w:rPr>
          <w:rStyle w:val="DZBesediloChar"/>
          <w:noProof/>
        </w:rPr>
        <w:t xml:space="preserve"> dobičk</w:t>
      </w:r>
      <w:r w:rsidR="002F62F8">
        <w:rPr>
          <w:rStyle w:val="DZBesediloChar"/>
          <w:noProof/>
        </w:rPr>
        <w:t>ov so</w:t>
      </w:r>
      <w:r w:rsidR="00822DEF">
        <w:rPr>
          <w:rStyle w:val="DZBesediloChar"/>
          <w:noProof/>
        </w:rPr>
        <w:t xml:space="preserve"> upošteva</w:t>
      </w:r>
      <w:r w:rsidR="002F62F8">
        <w:rPr>
          <w:rStyle w:val="DZBesediloChar"/>
          <w:noProof/>
        </w:rPr>
        <w:t>ne</w:t>
      </w:r>
      <w:r w:rsidR="00822DEF">
        <w:rPr>
          <w:rStyle w:val="DZBesediloChar"/>
          <w:noProof/>
        </w:rPr>
        <w:t xml:space="preserve"> tudi družbe, kot v </w:t>
      </w:r>
      <w:r w:rsidR="00822DEF" w:rsidRPr="00314387">
        <w:rPr>
          <w:rStyle w:val="DZBesediloChar"/>
          <w:noProof/>
        </w:rPr>
        <w:t xml:space="preserve">opombi </w:t>
      </w:r>
      <w:r w:rsidR="00B958AB" w:rsidRPr="00314387">
        <w:rPr>
          <w:rStyle w:val="DZBesediloChar"/>
          <w:noProof/>
        </w:rPr>
        <w:t xml:space="preserve">pod </w:t>
      </w:r>
      <w:r w:rsidR="00B958AB" w:rsidRPr="00314387">
        <w:rPr>
          <w:rStyle w:val="DZBesediloChar"/>
          <w:noProof/>
        </w:rPr>
        <w:fldChar w:fldCharType="begin"/>
      </w:r>
      <w:r w:rsidR="00B958AB" w:rsidRPr="00314387">
        <w:rPr>
          <w:rStyle w:val="DZBesediloChar"/>
          <w:noProof/>
        </w:rPr>
        <w:instrText xml:space="preserve"> REF _Ref114217643 \h </w:instrText>
      </w:r>
      <w:r w:rsidR="005D4159" w:rsidRPr="00314387">
        <w:rPr>
          <w:rStyle w:val="DZBesediloChar"/>
          <w:noProof/>
        </w:rPr>
        <w:instrText xml:space="preserve"> \* MERGEFORMAT </w:instrText>
      </w:r>
      <w:r w:rsidR="00B958AB" w:rsidRPr="00314387">
        <w:rPr>
          <w:rStyle w:val="DZBesediloChar"/>
          <w:noProof/>
        </w:rPr>
      </w:r>
      <w:r w:rsidR="00B958AB" w:rsidRPr="00314387">
        <w:rPr>
          <w:rStyle w:val="DZBesediloChar"/>
          <w:noProof/>
        </w:rPr>
        <w:fldChar w:fldCharType="separate"/>
      </w:r>
      <w:r w:rsidR="00F62265" w:rsidRPr="00314387">
        <w:t>s</w:t>
      </w:r>
      <w:r w:rsidR="00B958AB" w:rsidRPr="00314387">
        <w:t>liko 3</w:t>
      </w:r>
      <w:r w:rsidR="00B958AB" w:rsidRPr="00314387">
        <w:rPr>
          <w:rStyle w:val="DZBesediloChar"/>
          <w:noProof/>
        </w:rPr>
        <w:fldChar w:fldCharType="end"/>
      </w:r>
      <w:r w:rsidR="00822DEF" w:rsidRPr="00314387">
        <w:rPr>
          <w:rStyle w:val="DZBesediloChar"/>
          <w:noProof/>
        </w:rPr>
        <w:t>)</w:t>
      </w:r>
      <w:r w:rsidR="00F5284E" w:rsidRPr="00314387">
        <w:rPr>
          <w:rStyle w:val="DZBesediloChar"/>
          <w:noProof/>
        </w:rPr>
        <w:t>.</w:t>
      </w:r>
      <w:r w:rsidR="00F5284E" w:rsidRPr="00FE73BC">
        <w:rPr>
          <w:rStyle w:val="DZBesediloChar"/>
          <w:noProof/>
        </w:rPr>
        <w:t xml:space="preserve"> </w:t>
      </w:r>
      <w:r w:rsidR="00DC0B14" w:rsidRPr="00B52621">
        <w:rPr>
          <w:rStyle w:val="DZBesediloChar"/>
          <w:noProof/>
        </w:rPr>
        <w:t xml:space="preserve">Dejavnost </w:t>
      </w:r>
      <w:r w:rsidRPr="00CE667F">
        <w:rPr>
          <w:rStyle w:val="DZBesediloChar"/>
          <w:noProof/>
        </w:rPr>
        <w:t>železni</w:t>
      </w:r>
      <w:r w:rsidR="00DC0B14" w:rsidRPr="00CE667F">
        <w:rPr>
          <w:rStyle w:val="DZBesediloChar"/>
          <w:noProof/>
        </w:rPr>
        <w:t>škega</w:t>
      </w:r>
      <w:r w:rsidRPr="00CE667F">
        <w:rPr>
          <w:rStyle w:val="DZBesediloChar"/>
          <w:noProof/>
        </w:rPr>
        <w:t xml:space="preserve"> tovorne</w:t>
      </w:r>
      <w:r w:rsidR="00DC0B14" w:rsidRPr="00CE667F">
        <w:rPr>
          <w:rStyle w:val="DZBesediloChar"/>
          <w:noProof/>
        </w:rPr>
        <w:t>ga</w:t>
      </w:r>
      <w:r w:rsidRPr="00CE667F">
        <w:rPr>
          <w:rStyle w:val="DZBesediloChar"/>
          <w:noProof/>
        </w:rPr>
        <w:t xml:space="preserve"> promet</w:t>
      </w:r>
      <w:r w:rsidR="00DC0B14" w:rsidRPr="00CE667F">
        <w:rPr>
          <w:rStyle w:val="DZBesediloChar"/>
          <w:noProof/>
        </w:rPr>
        <w:t>a</w:t>
      </w:r>
      <w:r w:rsidRPr="00B52621">
        <w:rPr>
          <w:rStyle w:val="DZBesediloChar"/>
          <w:noProof/>
        </w:rPr>
        <w:t xml:space="preserve">, </w:t>
      </w:r>
      <w:r w:rsidR="00DC0B14" w:rsidRPr="00B52621">
        <w:rPr>
          <w:rStyle w:val="DZBesediloChar"/>
          <w:noProof/>
        </w:rPr>
        <w:t xml:space="preserve">ki je imela v letu 2010 še </w:t>
      </w:r>
      <w:r w:rsidR="001B4ACA" w:rsidRPr="00B52621">
        <w:rPr>
          <w:rStyle w:val="DZBesediloChar"/>
          <w:noProof/>
        </w:rPr>
        <w:t>več kot</w:t>
      </w:r>
      <w:r w:rsidR="00DC0B14" w:rsidRPr="00B52621">
        <w:rPr>
          <w:rStyle w:val="DZBesediloChar"/>
          <w:noProof/>
        </w:rPr>
        <w:t xml:space="preserve"> </w:t>
      </w:r>
      <w:r w:rsidR="001B4ACA" w:rsidRPr="00B52621">
        <w:rPr>
          <w:rStyle w:val="DZBesediloChar"/>
          <w:noProof/>
        </w:rPr>
        <w:t>18</w:t>
      </w:r>
      <w:r w:rsidR="00DC0B14" w:rsidRPr="00B52621">
        <w:rPr>
          <w:rStyle w:val="DZBesediloChar"/>
          <w:noProof/>
        </w:rPr>
        <w:t xml:space="preserve"> mio EUR neto čiste izgube, je po letu 2013 dosegala zmerno raven dobička</w:t>
      </w:r>
      <w:r w:rsidR="001B4ACA" w:rsidRPr="00B52621">
        <w:rPr>
          <w:rStyle w:val="DZBesediloChar"/>
          <w:noProof/>
        </w:rPr>
        <w:t xml:space="preserve">, </w:t>
      </w:r>
      <w:r w:rsidR="002B5A12" w:rsidRPr="00B52621">
        <w:rPr>
          <w:rStyle w:val="DZBesediloChar"/>
          <w:noProof/>
        </w:rPr>
        <w:t>ki je nihal</w:t>
      </w:r>
      <w:r w:rsidR="00C57D99" w:rsidRPr="00B52621">
        <w:rPr>
          <w:rStyle w:val="DZBesediloChar"/>
          <w:noProof/>
        </w:rPr>
        <w:t xml:space="preserve"> in</w:t>
      </w:r>
      <w:r w:rsidR="002B5A12" w:rsidRPr="00B52621">
        <w:rPr>
          <w:rStyle w:val="DZBesediloChar"/>
          <w:noProof/>
        </w:rPr>
        <w:t xml:space="preserve"> </w:t>
      </w:r>
      <w:r w:rsidR="00DE5AE3" w:rsidRPr="00B52621">
        <w:rPr>
          <w:rStyle w:val="DZBesediloChar"/>
          <w:noProof/>
        </w:rPr>
        <w:t>bil na</w:t>
      </w:r>
      <w:r w:rsidR="001B4ACA" w:rsidRPr="00B52621">
        <w:rPr>
          <w:rStyle w:val="DZBesediloChar"/>
          <w:noProof/>
        </w:rPr>
        <w:t>j</w:t>
      </w:r>
      <w:r w:rsidR="00B26071" w:rsidRPr="00B52621">
        <w:rPr>
          <w:rStyle w:val="DZBesediloChar"/>
          <w:noProof/>
        </w:rPr>
        <w:t>manjši</w:t>
      </w:r>
      <w:r w:rsidR="00FE73BC" w:rsidRPr="00B52621">
        <w:rPr>
          <w:rStyle w:val="DZBesediloChar"/>
          <w:noProof/>
        </w:rPr>
        <w:t xml:space="preserve"> </w:t>
      </w:r>
      <w:r w:rsidR="00DC0B14" w:rsidRPr="00B52621">
        <w:rPr>
          <w:rStyle w:val="DZBesediloChar"/>
          <w:noProof/>
        </w:rPr>
        <w:t>v letu 2020</w:t>
      </w:r>
      <w:r w:rsidR="001B4ACA" w:rsidRPr="00B52621">
        <w:rPr>
          <w:rStyle w:val="DZBesediloChar"/>
          <w:noProof/>
        </w:rPr>
        <w:t>, najv</w:t>
      </w:r>
      <w:r w:rsidR="00B26071" w:rsidRPr="00B52621">
        <w:rPr>
          <w:rStyle w:val="DZBesediloChar"/>
          <w:noProof/>
        </w:rPr>
        <w:t>ečji</w:t>
      </w:r>
      <w:r w:rsidR="001B4ACA" w:rsidRPr="00B52621">
        <w:rPr>
          <w:rStyle w:val="DZBesediloChar"/>
          <w:noProof/>
        </w:rPr>
        <w:t xml:space="preserve"> pa v letu 202</w:t>
      </w:r>
      <w:r w:rsidR="00DE5AE3" w:rsidRPr="00B52621">
        <w:rPr>
          <w:rStyle w:val="DZBesediloChar"/>
          <w:noProof/>
        </w:rPr>
        <w:t>3</w:t>
      </w:r>
      <w:r w:rsidR="003E1A92" w:rsidRPr="00B52621">
        <w:rPr>
          <w:rStyle w:val="DZBesediloChar"/>
          <w:noProof/>
        </w:rPr>
        <w:t xml:space="preserve"> </w:t>
      </w:r>
      <w:r w:rsidR="002D7C8B">
        <w:rPr>
          <w:rStyle w:val="DZBesediloChar"/>
          <w:noProof/>
        </w:rPr>
        <w:br/>
      </w:r>
      <w:r w:rsidR="003E1A92" w:rsidRPr="00B52621">
        <w:rPr>
          <w:rStyle w:val="DZBesediloChar"/>
          <w:noProof/>
        </w:rPr>
        <w:t>(5 mio EUR in 1</w:t>
      </w:r>
      <w:r w:rsidR="00DE5AE3" w:rsidRPr="00B52621">
        <w:rPr>
          <w:rStyle w:val="DZBesediloChar"/>
          <w:noProof/>
        </w:rPr>
        <w:t>9</w:t>
      </w:r>
      <w:r w:rsidR="003E1A92" w:rsidRPr="00B52621">
        <w:rPr>
          <w:rStyle w:val="DZBesediloChar"/>
          <w:noProof/>
        </w:rPr>
        <w:t xml:space="preserve"> mio EUR)</w:t>
      </w:r>
      <w:r w:rsidR="005878F6" w:rsidRPr="00B52621">
        <w:rPr>
          <w:rStyle w:val="DZBesediloChar"/>
          <w:noProof/>
        </w:rPr>
        <w:t xml:space="preserve">. V </w:t>
      </w:r>
      <w:r w:rsidR="005878F6" w:rsidRPr="00CE667F">
        <w:rPr>
          <w:rStyle w:val="DZBesediloChar"/>
          <w:noProof/>
        </w:rPr>
        <w:t>železniškem potniškem prometu</w:t>
      </w:r>
      <w:r w:rsidR="001F3736" w:rsidRPr="00B52621">
        <w:rPr>
          <w:rStyle w:val="DZBesediloChar"/>
          <w:noProof/>
        </w:rPr>
        <w:t>,</w:t>
      </w:r>
      <w:r w:rsidR="005878F6" w:rsidRPr="00B52621">
        <w:rPr>
          <w:rStyle w:val="DZBesediloChar"/>
          <w:noProof/>
        </w:rPr>
        <w:t xml:space="preserve"> </w:t>
      </w:r>
      <w:r w:rsidR="001F3736" w:rsidRPr="00B52621">
        <w:rPr>
          <w:rStyle w:val="DZBesediloChar"/>
          <w:noProof/>
        </w:rPr>
        <w:t>kjer</w:t>
      </w:r>
      <w:r w:rsidR="005878F6" w:rsidRPr="00B52621">
        <w:rPr>
          <w:rStyle w:val="DZBesediloChar"/>
          <w:noProof/>
        </w:rPr>
        <w:t xml:space="preserve"> so med let</w:t>
      </w:r>
      <w:r w:rsidR="000731A1" w:rsidRPr="00B52621">
        <w:rPr>
          <w:rStyle w:val="DZBesediloChar"/>
          <w:noProof/>
        </w:rPr>
        <w:t>oma</w:t>
      </w:r>
      <w:r w:rsidR="005878F6">
        <w:rPr>
          <w:rStyle w:val="DZBesediloChar"/>
          <w:noProof/>
        </w:rPr>
        <w:t xml:space="preserve"> 2012 in 2016 beležili le nekaj milijonov evrov </w:t>
      </w:r>
      <w:r w:rsidR="00B26071">
        <w:rPr>
          <w:rStyle w:val="DZBesediloChar"/>
          <w:noProof/>
        </w:rPr>
        <w:t xml:space="preserve">letnega </w:t>
      </w:r>
      <w:r w:rsidR="005878F6">
        <w:rPr>
          <w:rStyle w:val="DZBesediloChar"/>
          <w:noProof/>
        </w:rPr>
        <w:t>dobička</w:t>
      </w:r>
      <w:r w:rsidR="001F3736">
        <w:rPr>
          <w:rStyle w:val="DZBesediloChar"/>
          <w:noProof/>
        </w:rPr>
        <w:t xml:space="preserve">, se je </w:t>
      </w:r>
      <w:r w:rsidR="003E1A92">
        <w:rPr>
          <w:rStyle w:val="DZBesediloChar"/>
          <w:noProof/>
        </w:rPr>
        <w:t xml:space="preserve">ta </w:t>
      </w:r>
      <w:r w:rsidR="001F3736">
        <w:rPr>
          <w:rStyle w:val="DZBesediloChar"/>
          <w:noProof/>
        </w:rPr>
        <w:t xml:space="preserve">v </w:t>
      </w:r>
      <w:r w:rsidR="003E1A92">
        <w:rPr>
          <w:rStyle w:val="DZBesediloChar"/>
          <w:noProof/>
        </w:rPr>
        <w:t>letu 2017 povzpel na 17 mio EUR in je bil v nekaj</w:t>
      </w:r>
      <w:r w:rsidR="001F3736">
        <w:rPr>
          <w:rStyle w:val="DZBesediloChar"/>
          <w:noProof/>
        </w:rPr>
        <w:t xml:space="preserve"> letih</w:t>
      </w:r>
      <w:r w:rsidR="003E1A92">
        <w:rPr>
          <w:rStyle w:val="DZBesediloChar"/>
          <w:noProof/>
        </w:rPr>
        <w:t xml:space="preserve"> tudi v</w:t>
      </w:r>
      <w:r w:rsidR="00843FEA">
        <w:rPr>
          <w:rStyle w:val="DZBesediloChar"/>
          <w:noProof/>
        </w:rPr>
        <w:t>ečji</w:t>
      </w:r>
      <w:r w:rsidR="003E1A92">
        <w:rPr>
          <w:rStyle w:val="DZBesediloChar"/>
          <w:noProof/>
        </w:rPr>
        <w:t xml:space="preserve"> kot v tovornem prometu</w:t>
      </w:r>
      <w:r w:rsidR="00031715">
        <w:rPr>
          <w:rStyle w:val="DZBesediloChar"/>
          <w:noProof/>
        </w:rPr>
        <w:t>.</w:t>
      </w:r>
      <w:r w:rsidR="003E1A92">
        <w:rPr>
          <w:rStyle w:val="DZBesediloChar"/>
          <w:noProof/>
        </w:rPr>
        <w:t xml:space="preserve"> </w:t>
      </w:r>
      <w:r w:rsidR="00031715">
        <w:rPr>
          <w:rStyle w:val="DZBesediloChar"/>
          <w:noProof/>
        </w:rPr>
        <w:t>V</w:t>
      </w:r>
      <w:r w:rsidR="003E1A92">
        <w:rPr>
          <w:rStyle w:val="DZBesediloChar"/>
          <w:noProof/>
        </w:rPr>
        <w:t xml:space="preserve"> letu 2022 se je močno z</w:t>
      </w:r>
      <w:r w:rsidR="00843FEA">
        <w:rPr>
          <w:rStyle w:val="DZBesediloChar"/>
          <w:noProof/>
        </w:rPr>
        <w:t>manjšal</w:t>
      </w:r>
      <w:r w:rsidR="003E1A92">
        <w:rPr>
          <w:rStyle w:val="DZBesediloChar"/>
          <w:noProof/>
        </w:rPr>
        <w:t xml:space="preserve">, na </w:t>
      </w:r>
      <w:r w:rsidR="002B5A12">
        <w:rPr>
          <w:rStyle w:val="DZBesediloChar"/>
          <w:noProof/>
        </w:rPr>
        <w:t xml:space="preserve">le </w:t>
      </w:r>
      <w:r w:rsidR="003E1A92">
        <w:rPr>
          <w:rStyle w:val="DZBesediloChar"/>
          <w:noProof/>
        </w:rPr>
        <w:t>5 mio EUR</w:t>
      </w:r>
      <w:r w:rsidR="00031715">
        <w:rPr>
          <w:rStyle w:val="DZBesediloChar"/>
          <w:noProof/>
        </w:rPr>
        <w:t>, v letu 2023 pa spet močno povečal, na</w:t>
      </w:r>
      <w:r w:rsidR="001F3736">
        <w:rPr>
          <w:rStyle w:val="DZBesediloChar"/>
          <w:noProof/>
        </w:rPr>
        <w:t xml:space="preserve"> </w:t>
      </w:r>
      <w:r w:rsidR="00031715">
        <w:rPr>
          <w:rStyle w:val="DZBesediloChar"/>
          <w:noProof/>
        </w:rPr>
        <w:t xml:space="preserve">16 mio EUR. </w:t>
      </w:r>
      <w:r w:rsidR="009A505B">
        <w:rPr>
          <w:rStyle w:val="DZBesediloChar"/>
          <w:noProof/>
        </w:rPr>
        <w:t>V letu 2022 je namreč rast p</w:t>
      </w:r>
      <w:r w:rsidR="002B5A12">
        <w:rPr>
          <w:rStyle w:val="DZBesediloChar"/>
          <w:noProof/>
        </w:rPr>
        <w:t>oslovni</w:t>
      </w:r>
      <w:r w:rsidR="009A505B">
        <w:rPr>
          <w:rStyle w:val="DZBesediloChar"/>
          <w:noProof/>
        </w:rPr>
        <w:t>h</w:t>
      </w:r>
      <w:r w:rsidR="002B5A12">
        <w:rPr>
          <w:rStyle w:val="DZBesediloChar"/>
          <w:noProof/>
        </w:rPr>
        <w:t xml:space="preserve"> odhodk</w:t>
      </w:r>
      <w:r w:rsidR="009A505B">
        <w:rPr>
          <w:rStyle w:val="DZBesediloChar"/>
          <w:noProof/>
        </w:rPr>
        <w:t>ov</w:t>
      </w:r>
      <w:r w:rsidR="002B5A12">
        <w:rPr>
          <w:rStyle w:val="DZBesediloChar"/>
          <w:noProof/>
        </w:rPr>
        <w:t xml:space="preserve"> </w:t>
      </w:r>
      <w:r w:rsidR="009A505B">
        <w:rPr>
          <w:rStyle w:val="DZBesediloChar"/>
          <w:noProof/>
        </w:rPr>
        <w:t>precej presegla rast subvencij</w:t>
      </w:r>
      <w:r w:rsidR="002B5A12">
        <w:rPr>
          <w:rStyle w:val="DZBesediloChar"/>
          <w:noProof/>
        </w:rPr>
        <w:t xml:space="preserve"> </w:t>
      </w:r>
      <w:r w:rsidR="009A505B">
        <w:rPr>
          <w:rStyle w:val="DZBesediloChar"/>
          <w:noProof/>
        </w:rPr>
        <w:t>(</w:t>
      </w:r>
      <w:r w:rsidR="002B5A12">
        <w:rPr>
          <w:rStyle w:val="DZBesediloChar"/>
          <w:noProof/>
        </w:rPr>
        <w:t>20 %</w:t>
      </w:r>
      <w:r w:rsidR="009A505B">
        <w:rPr>
          <w:rStyle w:val="DZBesediloChar"/>
          <w:noProof/>
        </w:rPr>
        <w:t xml:space="preserve"> in 5 %), v </w:t>
      </w:r>
      <w:r w:rsidR="009A505B">
        <w:rPr>
          <w:rStyle w:val="DZBesediloChar"/>
          <w:noProof/>
        </w:rPr>
        <w:lastRenderedPageBreak/>
        <w:t>letu 2023</w:t>
      </w:r>
      <w:r w:rsidR="002B5A12">
        <w:rPr>
          <w:rStyle w:val="DZBesediloChar"/>
          <w:noProof/>
        </w:rPr>
        <w:t xml:space="preserve"> pa </w:t>
      </w:r>
      <w:r w:rsidR="009A505B">
        <w:rPr>
          <w:rStyle w:val="DZBesediloChar"/>
          <w:noProof/>
        </w:rPr>
        <w:t>so se subvencije povečale bolj (za 25 %</w:t>
      </w:r>
      <w:r w:rsidR="00A445E6">
        <w:rPr>
          <w:rStyle w:val="DZBesediloChar"/>
          <w:noProof/>
        </w:rPr>
        <w:t>,</w:t>
      </w:r>
      <w:r w:rsidR="009A505B">
        <w:rPr>
          <w:rStyle w:val="DZBesediloChar"/>
          <w:noProof/>
        </w:rPr>
        <w:t xml:space="preserve"> odhodki za 16 %)</w:t>
      </w:r>
      <w:r w:rsidR="002B5A12">
        <w:rPr>
          <w:rStyle w:val="DZBesediloChar"/>
          <w:noProof/>
        </w:rPr>
        <w:t xml:space="preserve">. </w:t>
      </w:r>
      <w:r w:rsidR="009A505B">
        <w:rPr>
          <w:rStyle w:val="DZBesediloChar"/>
          <w:noProof/>
        </w:rPr>
        <w:t>Ker</w:t>
      </w:r>
      <w:r w:rsidR="00C77051">
        <w:rPr>
          <w:rStyle w:val="DZBesediloChar"/>
          <w:noProof/>
        </w:rPr>
        <w:t xml:space="preserve"> subvencije v tej dejavnosti pomenijo večji del poslovnih prihodkov, </w:t>
      </w:r>
      <w:r w:rsidR="009A505B">
        <w:rPr>
          <w:rStyle w:val="DZBesediloChar"/>
          <w:noProof/>
        </w:rPr>
        <w:t>je njihovo povečanje močno izboljšalo</w:t>
      </w:r>
      <w:r w:rsidR="000731A1">
        <w:rPr>
          <w:rStyle w:val="DZBesediloChar"/>
          <w:noProof/>
        </w:rPr>
        <w:t xml:space="preserve"> tudi</w:t>
      </w:r>
      <w:r w:rsidR="009A505B">
        <w:rPr>
          <w:rStyle w:val="DZBesediloChar"/>
          <w:noProof/>
        </w:rPr>
        <w:t xml:space="preserve"> poslovni rezultat</w:t>
      </w:r>
      <w:r w:rsidR="00F774AD">
        <w:rPr>
          <w:rStyle w:val="DZBesediloChar"/>
          <w:noProof/>
        </w:rPr>
        <w:t>.</w:t>
      </w:r>
    </w:p>
    <w:p w14:paraId="0E87B71B" w14:textId="77777777" w:rsidR="00C87758" w:rsidRDefault="00C87758" w:rsidP="002B5A12">
      <w:pPr>
        <w:pStyle w:val="BesediloUMAR"/>
        <w:rPr>
          <w:rStyle w:val="DZBesediloChar"/>
          <w:noProof/>
        </w:rPr>
      </w:pPr>
    </w:p>
    <w:p w14:paraId="11A172A6" w14:textId="01CAEE45" w:rsidR="0041228F" w:rsidRPr="00355D96" w:rsidRDefault="0041228F" w:rsidP="00355D96">
      <w:pPr>
        <w:pStyle w:val="BesediloUMAR"/>
      </w:pPr>
      <w:r>
        <w:rPr>
          <w:rStyle w:val="DZVodilnistavekChar"/>
          <w:noProof/>
        </w:rPr>
        <w:t>Dejavnost</w:t>
      </w:r>
      <w:r w:rsidR="00B77A7B">
        <w:rPr>
          <w:rStyle w:val="DZVodilnistavekChar"/>
          <w:noProof/>
        </w:rPr>
        <w:t>i</w:t>
      </w:r>
      <w:r>
        <w:rPr>
          <w:rStyle w:val="DZVodilnistavekChar"/>
          <w:noProof/>
        </w:rPr>
        <w:t xml:space="preserve"> prometa </w:t>
      </w:r>
      <w:r w:rsidRPr="007374DA">
        <w:rPr>
          <w:rStyle w:val="DZVodilnistavekChar"/>
          <w:noProof/>
        </w:rPr>
        <w:t xml:space="preserve">in skladiščenja </w:t>
      </w:r>
      <w:r w:rsidR="003D1FD9" w:rsidRPr="007374DA">
        <w:rPr>
          <w:rStyle w:val="DZVodilnistavekChar"/>
          <w:noProof/>
        </w:rPr>
        <w:t xml:space="preserve">je </w:t>
      </w:r>
      <w:r w:rsidR="008259CB" w:rsidRPr="007374DA">
        <w:rPr>
          <w:rStyle w:val="DZVodilnistavekChar"/>
          <w:noProof/>
        </w:rPr>
        <w:t xml:space="preserve">bilo </w:t>
      </w:r>
      <w:r w:rsidR="00506532" w:rsidRPr="007374DA">
        <w:rPr>
          <w:rStyle w:val="DZVodilnistavekChar"/>
          <w:noProof/>
        </w:rPr>
        <w:t>pred</w:t>
      </w:r>
      <w:r w:rsidR="008259CB" w:rsidRPr="007374DA">
        <w:rPr>
          <w:rStyle w:val="DZVodilnistavekChar"/>
          <w:noProof/>
        </w:rPr>
        <w:t xml:space="preserve"> </w:t>
      </w:r>
      <w:r w:rsidR="00506532" w:rsidRPr="007374DA">
        <w:rPr>
          <w:rStyle w:val="DZVodilnistavekChar"/>
          <w:noProof/>
        </w:rPr>
        <w:t>letom 2020</w:t>
      </w:r>
      <w:r w:rsidR="008259CB" w:rsidRPr="007374DA">
        <w:rPr>
          <w:rStyle w:val="DZVodilnistavekChar"/>
          <w:noProof/>
        </w:rPr>
        <w:t xml:space="preserve"> </w:t>
      </w:r>
      <w:r w:rsidRPr="007374DA">
        <w:rPr>
          <w:rStyle w:val="DZVodilnistavekChar"/>
          <w:noProof/>
        </w:rPr>
        <w:t xml:space="preserve">v okviru </w:t>
      </w:r>
      <w:r w:rsidR="00535D0D" w:rsidRPr="007374DA">
        <w:rPr>
          <w:rStyle w:val="DZVodilnistavekChar"/>
          <w:noProof/>
        </w:rPr>
        <w:t>gospodarskih družb</w:t>
      </w:r>
      <w:r w:rsidR="00B77A7B" w:rsidRPr="007374DA">
        <w:rPr>
          <w:rStyle w:val="DZVodilnistavekChar"/>
          <w:noProof/>
        </w:rPr>
        <w:t xml:space="preserve"> dodeljenih </w:t>
      </w:r>
      <w:r w:rsidRPr="007374DA">
        <w:rPr>
          <w:rStyle w:val="DZVodilnistavekChar"/>
          <w:noProof/>
        </w:rPr>
        <w:t>največ subvenc</w:t>
      </w:r>
      <w:r w:rsidR="00535D0D" w:rsidRPr="007374DA">
        <w:rPr>
          <w:rStyle w:val="DZVodilnistavekChar"/>
          <w:noProof/>
        </w:rPr>
        <w:t>ij, namenjen</w:t>
      </w:r>
      <w:r w:rsidR="008259CB" w:rsidRPr="007374DA">
        <w:rPr>
          <w:rStyle w:val="DZVodilnistavekChar"/>
          <w:noProof/>
        </w:rPr>
        <w:t>ih</w:t>
      </w:r>
      <w:r w:rsidR="00535D0D" w:rsidRPr="007374DA">
        <w:rPr>
          <w:rStyle w:val="DZVodilnistavekChar"/>
          <w:noProof/>
        </w:rPr>
        <w:t xml:space="preserve"> zlasti spodbujanju javnega potniškega prometa</w:t>
      </w:r>
      <w:r w:rsidR="008259CB" w:rsidRPr="007374DA">
        <w:rPr>
          <w:rStyle w:val="DZVodilnistavekChar"/>
          <w:noProof/>
        </w:rPr>
        <w:t>,</w:t>
      </w:r>
      <w:r w:rsidR="00535D0D" w:rsidRPr="007374DA">
        <w:rPr>
          <w:rStyle w:val="DZVodilnistavekChar"/>
          <w:noProof/>
        </w:rPr>
        <w:t xml:space="preserve"> naj</w:t>
      </w:r>
      <w:r w:rsidR="008259CB" w:rsidRPr="007374DA">
        <w:rPr>
          <w:rStyle w:val="DZVodilnistavekChar"/>
          <w:noProof/>
        </w:rPr>
        <w:t>bolj</w:t>
      </w:r>
      <w:r w:rsidR="00535D0D" w:rsidRPr="007374DA">
        <w:rPr>
          <w:rStyle w:val="DZVodilnistavekChar"/>
          <w:noProof/>
        </w:rPr>
        <w:t xml:space="preserve"> železniške</w:t>
      </w:r>
      <w:r w:rsidR="008259CB" w:rsidRPr="007374DA">
        <w:rPr>
          <w:rStyle w:val="DZVodilnistavekChar"/>
          <w:noProof/>
        </w:rPr>
        <w:t>ga</w:t>
      </w:r>
      <w:r w:rsidRPr="007374DA">
        <w:rPr>
          <w:rStyle w:val="DZVodilnistavekChar"/>
          <w:noProof/>
        </w:rPr>
        <w:t>.</w:t>
      </w:r>
      <w:r w:rsidRPr="007374DA">
        <w:rPr>
          <w:rStyle w:val="DZBesediloChar"/>
          <w:noProof/>
        </w:rPr>
        <w:t xml:space="preserve"> </w:t>
      </w:r>
      <w:r w:rsidR="00464472">
        <w:rPr>
          <w:rStyle w:val="DZBesediloChar"/>
          <w:noProof/>
        </w:rPr>
        <w:br/>
      </w:r>
      <w:r w:rsidR="004B048D" w:rsidRPr="007374DA">
        <w:rPr>
          <w:rStyle w:val="DZBesediloChar"/>
          <w:noProof/>
        </w:rPr>
        <w:t xml:space="preserve">V letu 2020 je država zaradi omejitev poslovanja ob zajezitvenih ukrepih </w:t>
      </w:r>
      <w:r w:rsidR="00E30A04" w:rsidRPr="007374DA">
        <w:rPr>
          <w:rStyle w:val="DZBesediloChar"/>
          <w:noProof/>
        </w:rPr>
        <w:t>med</w:t>
      </w:r>
      <w:r w:rsidR="004B048D" w:rsidRPr="007374DA">
        <w:rPr>
          <w:rStyle w:val="DZBesediloChar"/>
          <w:noProof/>
        </w:rPr>
        <w:t xml:space="preserve"> epidemij</w:t>
      </w:r>
      <w:r w:rsidR="00E30A04" w:rsidRPr="007374DA">
        <w:rPr>
          <w:rStyle w:val="DZBesediloChar"/>
          <w:noProof/>
        </w:rPr>
        <w:t>o</w:t>
      </w:r>
      <w:r w:rsidR="00AF4110" w:rsidRPr="007374DA">
        <w:rPr>
          <w:rStyle w:val="DZBesediloChar"/>
          <w:noProof/>
        </w:rPr>
        <w:t xml:space="preserve"> gospodarstvu </w:t>
      </w:r>
      <w:r w:rsidR="00EF4743" w:rsidRPr="007374DA">
        <w:rPr>
          <w:rStyle w:val="DZBesediloChar"/>
          <w:noProof/>
        </w:rPr>
        <w:t xml:space="preserve">namenila </w:t>
      </w:r>
      <w:r w:rsidR="00AF4110" w:rsidRPr="007374DA">
        <w:rPr>
          <w:rStyle w:val="DZBesediloChar"/>
          <w:noProof/>
        </w:rPr>
        <w:t xml:space="preserve">precej obsežno denarno pomoč, zato so se </w:t>
      </w:r>
      <w:r w:rsidR="00A1673A" w:rsidRPr="007374DA">
        <w:rPr>
          <w:rStyle w:val="DZBesediloChar"/>
          <w:noProof/>
        </w:rPr>
        <w:t xml:space="preserve">subvencije </w:t>
      </w:r>
      <w:r w:rsidR="00AF4110" w:rsidRPr="007374DA">
        <w:rPr>
          <w:rStyle w:val="DZBesediloChar"/>
          <w:noProof/>
        </w:rPr>
        <w:t xml:space="preserve">s 528 mio EUR v letu 2019 </w:t>
      </w:r>
      <w:r w:rsidR="00AF6F60" w:rsidRPr="007374DA">
        <w:rPr>
          <w:rStyle w:val="DZBesediloChar"/>
          <w:noProof/>
        </w:rPr>
        <w:t>po</w:t>
      </w:r>
      <w:r w:rsidR="005277AE" w:rsidRPr="007374DA">
        <w:rPr>
          <w:rStyle w:val="DZBesediloChar"/>
          <w:noProof/>
        </w:rPr>
        <w:t>v</w:t>
      </w:r>
      <w:r w:rsidR="00A04DF3" w:rsidRPr="007374DA">
        <w:rPr>
          <w:rStyle w:val="DZBesediloChar"/>
          <w:noProof/>
        </w:rPr>
        <w:t>ečale</w:t>
      </w:r>
      <w:r w:rsidR="00DF5063" w:rsidRPr="007374DA">
        <w:rPr>
          <w:rStyle w:val="DZBesediloChar"/>
          <w:noProof/>
        </w:rPr>
        <w:t xml:space="preserve"> </w:t>
      </w:r>
      <w:r w:rsidR="00AF4110" w:rsidRPr="007374DA">
        <w:rPr>
          <w:rStyle w:val="DZBesediloChar"/>
          <w:noProof/>
        </w:rPr>
        <w:t>na 1</w:t>
      </w:r>
      <w:r w:rsidR="00453F56" w:rsidRPr="007374DA">
        <w:rPr>
          <w:rStyle w:val="DZBesediloChar"/>
          <w:noProof/>
        </w:rPr>
        <w:t>.</w:t>
      </w:r>
      <w:r w:rsidR="00AF4110" w:rsidRPr="007374DA">
        <w:rPr>
          <w:rStyle w:val="DZBesediloChar"/>
          <w:noProof/>
        </w:rPr>
        <w:t xml:space="preserve">354 mio EUR v letu 2020. V tem letu so </w:t>
      </w:r>
      <w:r w:rsidR="00A1673A" w:rsidRPr="007374DA">
        <w:rPr>
          <w:rStyle w:val="DZBesediloChar"/>
          <w:noProof/>
        </w:rPr>
        <w:t>tako</w:t>
      </w:r>
      <w:r w:rsidR="00E4555D" w:rsidRPr="007374DA">
        <w:rPr>
          <w:rStyle w:val="DZBesediloChar"/>
          <w:noProof/>
        </w:rPr>
        <w:t xml:space="preserve"> predelovalne dejavnosti </w:t>
      </w:r>
      <w:r w:rsidR="00125018" w:rsidRPr="007374DA">
        <w:rPr>
          <w:rStyle w:val="DZBesediloChar"/>
          <w:noProof/>
        </w:rPr>
        <w:t xml:space="preserve">prvič </w:t>
      </w:r>
      <w:r w:rsidR="005277AE" w:rsidRPr="007374DA">
        <w:rPr>
          <w:rStyle w:val="DZBesediloChar"/>
          <w:noProof/>
        </w:rPr>
        <w:t>prejele</w:t>
      </w:r>
      <w:r w:rsidR="00855D56" w:rsidRPr="007374DA">
        <w:rPr>
          <w:rStyle w:val="DZBesediloChar"/>
          <w:noProof/>
        </w:rPr>
        <w:t xml:space="preserve"> </w:t>
      </w:r>
      <w:r w:rsidR="00E4555D" w:rsidRPr="007374DA">
        <w:rPr>
          <w:rStyle w:val="DZBesediloChar"/>
          <w:noProof/>
        </w:rPr>
        <w:t>več subvencij od prometa. V let</w:t>
      </w:r>
      <w:r w:rsidR="00C57D99" w:rsidRPr="007374DA">
        <w:rPr>
          <w:rStyle w:val="DZBesediloChar"/>
          <w:noProof/>
        </w:rPr>
        <w:t>ih</w:t>
      </w:r>
      <w:r w:rsidR="00E4555D" w:rsidRPr="007374DA">
        <w:rPr>
          <w:rStyle w:val="DZBesediloChar"/>
          <w:noProof/>
        </w:rPr>
        <w:t xml:space="preserve"> 2021 </w:t>
      </w:r>
      <w:r w:rsidR="00C57D99" w:rsidRPr="007374DA">
        <w:rPr>
          <w:rStyle w:val="DZBesediloChar"/>
          <w:noProof/>
        </w:rPr>
        <w:t xml:space="preserve">in 2022 </w:t>
      </w:r>
      <w:r w:rsidR="00E4555D" w:rsidRPr="007374DA">
        <w:rPr>
          <w:rStyle w:val="DZBesediloChar"/>
          <w:noProof/>
        </w:rPr>
        <w:t>je obseg subvencij gospodarskim družbam ostal v</w:t>
      </w:r>
      <w:r w:rsidR="003E7504" w:rsidRPr="007374DA">
        <w:rPr>
          <w:rStyle w:val="DZBesediloChar"/>
          <w:noProof/>
        </w:rPr>
        <w:t>elik</w:t>
      </w:r>
      <w:r w:rsidR="00E4555D" w:rsidRPr="007374DA">
        <w:rPr>
          <w:rStyle w:val="DZBesediloChar"/>
          <w:noProof/>
        </w:rPr>
        <w:t>, 1</w:t>
      </w:r>
      <w:r w:rsidR="00453F56" w:rsidRPr="007374DA">
        <w:rPr>
          <w:rStyle w:val="DZBesediloChar"/>
          <w:noProof/>
        </w:rPr>
        <w:t>.</w:t>
      </w:r>
      <w:r w:rsidR="00E4555D" w:rsidRPr="007374DA">
        <w:rPr>
          <w:rStyle w:val="DZBesediloChar"/>
          <w:noProof/>
        </w:rPr>
        <w:t>050 mio EUR</w:t>
      </w:r>
      <w:r w:rsidR="00C57D99" w:rsidRPr="007374DA">
        <w:rPr>
          <w:rStyle w:val="DZBesediloChar"/>
          <w:noProof/>
        </w:rPr>
        <w:t xml:space="preserve"> in 900 mio EUR</w:t>
      </w:r>
      <w:r w:rsidR="00E4555D" w:rsidRPr="007374DA">
        <w:rPr>
          <w:rStyle w:val="DZBesediloChar"/>
          <w:noProof/>
        </w:rPr>
        <w:t xml:space="preserve">, </w:t>
      </w:r>
      <w:r w:rsidR="00C57D99" w:rsidRPr="007374DA">
        <w:rPr>
          <w:rStyle w:val="DZBesediloChar"/>
          <w:noProof/>
        </w:rPr>
        <w:t>upad</w:t>
      </w:r>
      <w:r w:rsidR="00125018" w:rsidRPr="007374DA">
        <w:rPr>
          <w:rStyle w:val="DZBesediloChar"/>
          <w:noProof/>
        </w:rPr>
        <w:t>anje</w:t>
      </w:r>
      <w:r w:rsidR="00C57D99" w:rsidRPr="007374DA">
        <w:rPr>
          <w:rStyle w:val="DZBesediloChar"/>
          <w:noProof/>
        </w:rPr>
        <w:t xml:space="preserve"> subvencij</w:t>
      </w:r>
      <w:r w:rsidR="003D1FD9" w:rsidRPr="007374DA">
        <w:rPr>
          <w:rStyle w:val="DZBesediloChar"/>
          <w:noProof/>
        </w:rPr>
        <w:t xml:space="preserve"> v povezavi z epidemijo</w:t>
      </w:r>
      <w:r w:rsidR="00125018" w:rsidRPr="007374DA">
        <w:rPr>
          <w:rStyle w:val="DZBesediloChar"/>
          <w:noProof/>
        </w:rPr>
        <w:t xml:space="preserve"> pa so</w:t>
      </w:r>
      <w:r w:rsidR="003D1FD9" w:rsidRPr="007374DA">
        <w:rPr>
          <w:rStyle w:val="DZBesediloChar"/>
          <w:noProof/>
        </w:rPr>
        <w:t xml:space="preserve"> </w:t>
      </w:r>
      <w:r w:rsidR="00C57D99" w:rsidRPr="007374DA">
        <w:rPr>
          <w:rStyle w:val="DZBesediloChar"/>
          <w:noProof/>
        </w:rPr>
        <w:t>nadomeščale</w:t>
      </w:r>
      <w:r w:rsidR="003D1FD9" w:rsidRPr="007374DA">
        <w:rPr>
          <w:rStyle w:val="DZBesediloChar"/>
          <w:noProof/>
        </w:rPr>
        <w:t xml:space="preserve"> pomoči gospodarstvu zaradi visokih cen energije</w:t>
      </w:r>
      <w:r w:rsidR="00C57D99" w:rsidRPr="007374DA">
        <w:rPr>
          <w:rStyle w:val="DZBesediloChar"/>
          <w:noProof/>
        </w:rPr>
        <w:t xml:space="preserve">. V letu 2023 se je obseg subvencij vsem družbam </w:t>
      </w:r>
      <w:r w:rsidR="00453F56" w:rsidRPr="007374DA">
        <w:rPr>
          <w:rStyle w:val="DZBesediloChar"/>
          <w:noProof/>
        </w:rPr>
        <w:t xml:space="preserve">še </w:t>
      </w:r>
      <w:r w:rsidR="00C57D99" w:rsidRPr="007374DA">
        <w:rPr>
          <w:rStyle w:val="DZBesediloChar"/>
          <w:noProof/>
        </w:rPr>
        <w:t>povečal</w:t>
      </w:r>
      <w:r w:rsidR="00453F56" w:rsidRPr="007374DA">
        <w:rPr>
          <w:rStyle w:val="DZBesediloChar"/>
          <w:noProof/>
        </w:rPr>
        <w:t>,</w:t>
      </w:r>
      <w:r w:rsidR="00C57D99" w:rsidRPr="007374DA">
        <w:rPr>
          <w:rStyle w:val="DZBesediloChar"/>
          <w:noProof/>
        </w:rPr>
        <w:t xml:space="preserve"> na </w:t>
      </w:r>
      <w:r w:rsidR="00453F56" w:rsidRPr="007374DA">
        <w:rPr>
          <w:rStyle w:val="DZBesediloChar"/>
          <w:noProof/>
        </w:rPr>
        <w:t>1.146 mio EUR</w:t>
      </w:r>
      <w:r w:rsidR="003D1FD9" w:rsidRPr="007374DA">
        <w:rPr>
          <w:rStyle w:val="DZBesediloChar"/>
          <w:noProof/>
        </w:rPr>
        <w:t xml:space="preserve">, </w:t>
      </w:r>
      <w:r w:rsidR="00453F56" w:rsidRPr="007374DA">
        <w:rPr>
          <w:rStyle w:val="DZBesediloChar"/>
          <w:noProof/>
        </w:rPr>
        <w:t>ko so se energetskim pridružile še popoplavne pomoči</w:t>
      </w:r>
      <w:r w:rsidR="003D1FD9" w:rsidRPr="007374DA">
        <w:rPr>
          <w:rStyle w:val="DZBesediloChar"/>
          <w:noProof/>
        </w:rPr>
        <w:t xml:space="preserve">. Od </w:t>
      </w:r>
      <w:r w:rsidR="00BC71A5" w:rsidRPr="007374DA">
        <w:rPr>
          <w:rStyle w:val="DZBesediloChar"/>
          <w:noProof/>
        </w:rPr>
        <w:t>vseh subvencij družbam</w:t>
      </w:r>
      <w:r w:rsidR="003D1FD9" w:rsidRPr="007374DA">
        <w:rPr>
          <w:rStyle w:val="DZBesediloChar"/>
          <w:noProof/>
        </w:rPr>
        <w:t xml:space="preserve"> so družbe prometa in skladiščenja</w:t>
      </w:r>
      <w:r w:rsidR="003D1FD9">
        <w:rPr>
          <w:rStyle w:val="DZBesediloChar"/>
          <w:noProof/>
        </w:rPr>
        <w:t xml:space="preserve"> dobile 28</w:t>
      </w:r>
      <w:r w:rsidR="00125018">
        <w:rPr>
          <w:rStyle w:val="DZBesediloChar"/>
          <w:noProof/>
        </w:rPr>
        <w:t>3</w:t>
      </w:r>
      <w:r w:rsidR="003D1FD9">
        <w:rPr>
          <w:rStyle w:val="DZBesediloChar"/>
          <w:noProof/>
        </w:rPr>
        <w:t xml:space="preserve"> mio EUR</w:t>
      </w:r>
      <w:r w:rsidR="00125018">
        <w:rPr>
          <w:rStyle w:val="DZBesediloChar"/>
          <w:noProof/>
        </w:rPr>
        <w:t xml:space="preserve"> </w:t>
      </w:r>
      <w:r w:rsidR="003D1FD9">
        <w:rPr>
          <w:rStyle w:val="DZBesediloChar"/>
          <w:noProof/>
        </w:rPr>
        <w:t xml:space="preserve">ali </w:t>
      </w:r>
      <w:r w:rsidR="00125018">
        <w:rPr>
          <w:rStyle w:val="DZBesediloChar"/>
          <w:noProof/>
        </w:rPr>
        <w:t xml:space="preserve">četrtino </w:t>
      </w:r>
      <w:r w:rsidR="003911B5">
        <w:rPr>
          <w:rStyle w:val="DZBesediloChar"/>
          <w:noProof/>
        </w:rPr>
        <w:t>(predelovaln</w:t>
      </w:r>
      <w:r w:rsidR="00125018">
        <w:rPr>
          <w:rStyle w:val="DZBesediloChar"/>
          <w:noProof/>
        </w:rPr>
        <w:t>e</w:t>
      </w:r>
      <w:r w:rsidR="003911B5">
        <w:rPr>
          <w:rStyle w:val="DZBesediloChar"/>
          <w:noProof/>
        </w:rPr>
        <w:t xml:space="preserve"> dejavnosti malo v</w:t>
      </w:r>
      <w:r w:rsidR="00125018">
        <w:rPr>
          <w:rStyle w:val="DZBesediloChar"/>
          <w:noProof/>
        </w:rPr>
        <w:t>eč, 29 %</w:t>
      </w:r>
      <w:r w:rsidR="003911B5">
        <w:rPr>
          <w:rStyle w:val="DZBesediloChar"/>
          <w:noProof/>
        </w:rPr>
        <w:t xml:space="preserve">). </w:t>
      </w:r>
      <w:r w:rsidR="008C0D82">
        <w:rPr>
          <w:rStyle w:val="DZBesediloChar"/>
          <w:noProof/>
        </w:rPr>
        <w:t>Največ</w:t>
      </w:r>
      <w:r w:rsidR="0011476E">
        <w:rPr>
          <w:rStyle w:val="DZBesediloChar"/>
          <w:noProof/>
        </w:rPr>
        <w:t xml:space="preserve">, </w:t>
      </w:r>
      <w:r w:rsidR="00125018">
        <w:rPr>
          <w:rStyle w:val="DZBesediloChar"/>
          <w:noProof/>
        </w:rPr>
        <w:t>110</w:t>
      </w:r>
      <w:r w:rsidR="0011476E">
        <w:rPr>
          <w:rStyle w:val="DZBesediloChar"/>
          <w:noProof/>
        </w:rPr>
        <w:t xml:space="preserve"> mio EUR</w:t>
      </w:r>
      <w:r w:rsidR="00046F18">
        <w:rPr>
          <w:rStyle w:val="DZBesediloChar"/>
          <w:noProof/>
        </w:rPr>
        <w:t>,</w:t>
      </w:r>
      <w:r w:rsidR="0011476E">
        <w:rPr>
          <w:rStyle w:val="DZBesediloChar"/>
          <w:noProof/>
        </w:rPr>
        <w:t xml:space="preserve"> je </w:t>
      </w:r>
      <w:r w:rsidR="00973ACE">
        <w:rPr>
          <w:rStyle w:val="DZBesediloChar"/>
          <w:noProof/>
        </w:rPr>
        <w:t xml:space="preserve">bilo dodeljenih </w:t>
      </w:r>
      <w:r w:rsidR="0011476E">
        <w:rPr>
          <w:rStyle w:val="DZBesediloChar"/>
          <w:noProof/>
        </w:rPr>
        <w:t>dejavnost</w:t>
      </w:r>
      <w:r w:rsidR="00973ACE">
        <w:rPr>
          <w:rStyle w:val="DZBesediloChar"/>
          <w:noProof/>
        </w:rPr>
        <w:t>i</w:t>
      </w:r>
      <w:r w:rsidR="0011476E">
        <w:rPr>
          <w:rStyle w:val="DZBesediloChar"/>
          <w:noProof/>
        </w:rPr>
        <w:t xml:space="preserve"> železniškega potniškega prometa, </w:t>
      </w:r>
      <w:r w:rsidR="00C77051">
        <w:rPr>
          <w:rStyle w:val="DZBesediloChar"/>
          <w:noProof/>
        </w:rPr>
        <w:t>6</w:t>
      </w:r>
      <w:r w:rsidR="00125018">
        <w:rPr>
          <w:rStyle w:val="DZBesediloChar"/>
          <w:noProof/>
        </w:rPr>
        <w:t>8</w:t>
      </w:r>
      <w:r w:rsidR="0011476E">
        <w:rPr>
          <w:rStyle w:val="DZBesediloChar"/>
          <w:noProof/>
        </w:rPr>
        <w:t xml:space="preserve"> mio EUR</w:t>
      </w:r>
      <w:r w:rsidR="00C77051">
        <w:rPr>
          <w:rStyle w:val="DZBesediloChar"/>
          <w:noProof/>
        </w:rPr>
        <w:t xml:space="preserve"> </w:t>
      </w:r>
      <w:r w:rsidR="00A81B81">
        <w:rPr>
          <w:rStyle w:val="DZBesediloChar"/>
          <w:noProof/>
        </w:rPr>
        <w:t>in 4</w:t>
      </w:r>
      <w:r w:rsidR="00125018">
        <w:rPr>
          <w:rStyle w:val="DZBesediloChar"/>
          <w:noProof/>
        </w:rPr>
        <w:t>6</w:t>
      </w:r>
      <w:r w:rsidR="009D3EB3">
        <w:rPr>
          <w:rStyle w:val="DZBesediloChar"/>
          <w:noProof/>
        </w:rPr>
        <w:t xml:space="preserve"> </w:t>
      </w:r>
      <w:r w:rsidR="00A81B81">
        <w:rPr>
          <w:rStyle w:val="DZBesediloChar"/>
          <w:noProof/>
        </w:rPr>
        <w:t xml:space="preserve">mio EUR pa </w:t>
      </w:r>
      <w:r w:rsidR="0011476E" w:rsidRPr="00CE667F">
        <w:rPr>
          <w:rStyle w:val="DZBesediloChar"/>
          <w:noProof/>
        </w:rPr>
        <w:t>dejavnost</w:t>
      </w:r>
      <w:r w:rsidR="00A81B81" w:rsidRPr="00CE667F">
        <w:rPr>
          <w:rStyle w:val="DZBesediloChar"/>
          <w:noProof/>
        </w:rPr>
        <w:t>ma</w:t>
      </w:r>
      <w:r w:rsidR="0011476E" w:rsidRPr="00CE667F">
        <w:rPr>
          <w:rStyle w:val="DZBesediloChar"/>
          <w:noProof/>
        </w:rPr>
        <w:t xml:space="preserve"> a</w:t>
      </w:r>
      <w:r w:rsidR="0011476E">
        <w:rPr>
          <w:rStyle w:val="DZBesediloChar"/>
          <w:noProof/>
        </w:rPr>
        <w:t>vtobusnega medkrajevnega in mestnega potniškega prometa</w:t>
      </w:r>
      <w:r w:rsidR="007A02A7">
        <w:rPr>
          <w:rStyle w:val="DZBesediloChar"/>
          <w:noProof/>
        </w:rPr>
        <w:t xml:space="preserve">. Tudi dejavnosti železniškega in cestnega tovornega prometa sta za spodbujanje kombiniranega tovornega prometa </w:t>
      </w:r>
      <w:r w:rsidR="00B24F46">
        <w:rPr>
          <w:rStyle w:val="DZBesediloChar"/>
          <w:noProof/>
        </w:rPr>
        <w:t>ter</w:t>
      </w:r>
      <w:r w:rsidR="007A02A7">
        <w:rPr>
          <w:rStyle w:val="DZBesediloChar"/>
          <w:noProof/>
        </w:rPr>
        <w:t xml:space="preserve"> tudi </w:t>
      </w:r>
      <w:r w:rsidR="001172AC">
        <w:rPr>
          <w:rStyle w:val="DZBesediloChar"/>
          <w:noProof/>
        </w:rPr>
        <w:t xml:space="preserve">še </w:t>
      </w:r>
      <w:r w:rsidR="007A02A7">
        <w:rPr>
          <w:rStyle w:val="DZBesediloChar"/>
          <w:noProof/>
        </w:rPr>
        <w:t xml:space="preserve">kot pomoč države zaradi </w:t>
      </w:r>
      <w:r w:rsidR="0037269C">
        <w:rPr>
          <w:rStyle w:val="DZBesediloChar"/>
          <w:noProof/>
        </w:rPr>
        <w:t xml:space="preserve">visokih cen </w:t>
      </w:r>
      <w:r w:rsidR="00A81B81">
        <w:rPr>
          <w:rStyle w:val="DZBesediloChar"/>
          <w:noProof/>
        </w:rPr>
        <w:t>energije</w:t>
      </w:r>
      <w:r w:rsidR="007A02A7">
        <w:rPr>
          <w:rStyle w:val="DZBesediloChar"/>
          <w:noProof/>
        </w:rPr>
        <w:t xml:space="preserve"> v letu 202</w:t>
      </w:r>
      <w:r w:rsidR="001172AC">
        <w:rPr>
          <w:rStyle w:val="DZBesediloChar"/>
          <w:noProof/>
        </w:rPr>
        <w:t>3</w:t>
      </w:r>
      <w:r w:rsidR="007A02A7">
        <w:rPr>
          <w:rStyle w:val="DZBesediloChar"/>
          <w:noProof/>
        </w:rPr>
        <w:t xml:space="preserve"> </w:t>
      </w:r>
      <w:r w:rsidR="009672A6">
        <w:rPr>
          <w:rStyle w:val="DZBesediloChar"/>
          <w:noProof/>
        </w:rPr>
        <w:t>prejeli</w:t>
      </w:r>
      <w:r w:rsidR="005E635C">
        <w:rPr>
          <w:rStyle w:val="DZBesediloChar"/>
          <w:noProof/>
        </w:rPr>
        <w:t xml:space="preserve"> </w:t>
      </w:r>
      <w:r w:rsidR="009672A6">
        <w:rPr>
          <w:rStyle w:val="DZBesediloChar"/>
          <w:noProof/>
        </w:rPr>
        <w:t>razmeroma</w:t>
      </w:r>
      <w:r w:rsidR="007A02A7">
        <w:rPr>
          <w:rStyle w:val="DZBesediloChar"/>
          <w:noProof/>
        </w:rPr>
        <w:t xml:space="preserve"> </w:t>
      </w:r>
      <w:r w:rsidR="004F6D3D">
        <w:rPr>
          <w:rStyle w:val="DZBesediloChar"/>
          <w:noProof/>
        </w:rPr>
        <w:t xml:space="preserve">veliko subvencij, skupaj skoraj </w:t>
      </w:r>
      <w:r w:rsidR="001172AC">
        <w:rPr>
          <w:rStyle w:val="DZBesediloChar"/>
          <w:noProof/>
        </w:rPr>
        <w:t>4</w:t>
      </w:r>
      <w:r w:rsidR="00A81B81">
        <w:rPr>
          <w:rStyle w:val="DZBesediloChar"/>
          <w:noProof/>
        </w:rPr>
        <w:t>5</w:t>
      </w:r>
      <w:r w:rsidR="004F6D3D">
        <w:rPr>
          <w:rStyle w:val="DZBesediloChar"/>
          <w:noProof/>
        </w:rPr>
        <w:t xml:space="preserve"> mio EUR, a te so </w:t>
      </w:r>
      <w:r w:rsidR="00BD1F62">
        <w:rPr>
          <w:rStyle w:val="DZBesediloChar"/>
          <w:noProof/>
        </w:rPr>
        <w:t xml:space="preserve">v železniškem </w:t>
      </w:r>
      <w:r w:rsidR="009D3EB3">
        <w:rPr>
          <w:rStyle w:val="DZBesediloChar"/>
          <w:noProof/>
        </w:rPr>
        <w:t xml:space="preserve">tovornem </w:t>
      </w:r>
      <w:r w:rsidR="00BD1F62">
        <w:rPr>
          <w:rStyle w:val="DZBesediloChar"/>
          <w:noProof/>
        </w:rPr>
        <w:t xml:space="preserve">prometu </w:t>
      </w:r>
      <w:r w:rsidR="004F6D3D" w:rsidRPr="00F131F6">
        <w:rPr>
          <w:rStyle w:val="DZBesediloChar"/>
          <w:noProof/>
        </w:rPr>
        <w:t xml:space="preserve">pomenile samo </w:t>
      </w:r>
      <w:r w:rsidR="00A81B81">
        <w:rPr>
          <w:rStyle w:val="DZBesediloChar"/>
          <w:noProof/>
        </w:rPr>
        <w:t xml:space="preserve">okoli </w:t>
      </w:r>
      <w:r w:rsidR="001172AC">
        <w:rPr>
          <w:rStyle w:val="DZBesediloChar"/>
          <w:noProof/>
        </w:rPr>
        <w:t>7</w:t>
      </w:r>
      <w:r w:rsidR="00A81B81">
        <w:rPr>
          <w:rStyle w:val="DZBesediloChar"/>
          <w:noProof/>
        </w:rPr>
        <w:t> %</w:t>
      </w:r>
      <w:r w:rsidR="004F6D3D" w:rsidRPr="00F131F6">
        <w:rPr>
          <w:rStyle w:val="DZBesediloChar"/>
          <w:noProof/>
        </w:rPr>
        <w:t xml:space="preserve">, v cestnem </w:t>
      </w:r>
      <w:r w:rsidR="009D3EB3">
        <w:rPr>
          <w:rStyle w:val="DZBesediloChar"/>
          <w:noProof/>
        </w:rPr>
        <w:t xml:space="preserve">tovornem </w:t>
      </w:r>
      <w:r w:rsidR="004F6D3D" w:rsidRPr="00F131F6">
        <w:rPr>
          <w:rStyle w:val="DZBesediloChar"/>
          <w:noProof/>
        </w:rPr>
        <w:t xml:space="preserve">prometu pa </w:t>
      </w:r>
      <w:r w:rsidR="00A81B81">
        <w:rPr>
          <w:rStyle w:val="DZBesediloChar"/>
          <w:noProof/>
        </w:rPr>
        <w:t xml:space="preserve">le </w:t>
      </w:r>
      <w:r w:rsidR="001172AC">
        <w:rPr>
          <w:rStyle w:val="DZBesediloChar"/>
          <w:noProof/>
        </w:rPr>
        <w:t>manj kot 1</w:t>
      </w:r>
      <w:r w:rsidR="00A81B81">
        <w:rPr>
          <w:rStyle w:val="DZBesediloChar"/>
          <w:noProof/>
        </w:rPr>
        <w:t xml:space="preserve"> % </w:t>
      </w:r>
      <w:r w:rsidR="00A81B81" w:rsidRPr="00F131F6">
        <w:rPr>
          <w:rStyle w:val="DZBesediloChar"/>
          <w:noProof/>
        </w:rPr>
        <w:t>poslovnih prihodkov</w:t>
      </w:r>
      <w:r w:rsidR="004F6D3D" w:rsidRPr="00F131F6">
        <w:rPr>
          <w:rStyle w:val="DZBesediloChar"/>
          <w:noProof/>
        </w:rPr>
        <w:t>.</w:t>
      </w:r>
      <w:r w:rsidR="008C0D82" w:rsidRPr="00F131F6">
        <w:rPr>
          <w:rStyle w:val="DZBesediloChar"/>
          <w:noProof/>
        </w:rPr>
        <w:t xml:space="preserve"> </w:t>
      </w:r>
      <w:r w:rsidR="006152A0" w:rsidRPr="00BD1F62">
        <w:rPr>
          <w:rStyle w:val="DZBesediloChar"/>
          <w:noProof/>
        </w:rPr>
        <w:t>Nasprotno so v</w:t>
      </w:r>
      <w:r w:rsidR="00516D95" w:rsidRPr="00BD1F62">
        <w:rPr>
          <w:rStyle w:val="DZBesediloChar"/>
          <w:noProof/>
        </w:rPr>
        <w:t xml:space="preserve"> železniškem potniškem prometu subvencije</w:t>
      </w:r>
      <w:r w:rsidR="006152A0" w:rsidRPr="00BD1F62">
        <w:rPr>
          <w:rStyle w:val="DZBesediloChar"/>
          <w:noProof/>
        </w:rPr>
        <w:t xml:space="preserve"> pomenile največji del poslovnih prihodkov, v letu</w:t>
      </w:r>
      <w:r w:rsidR="006152A0">
        <w:rPr>
          <w:rStyle w:val="DZBesediloChar"/>
          <w:noProof/>
        </w:rPr>
        <w:t xml:space="preserve"> 202</w:t>
      </w:r>
      <w:r w:rsidR="001172AC">
        <w:rPr>
          <w:rStyle w:val="DZBesediloChar"/>
          <w:noProof/>
        </w:rPr>
        <w:t>3</w:t>
      </w:r>
      <w:r w:rsidR="006152A0">
        <w:rPr>
          <w:rStyle w:val="DZBesediloChar"/>
          <w:noProof/>
        </w:rPr>
        <w:t xml:space="preserve"> </w:t>
      </w:r>
      <w:r w:rsidR="00FB4690">
        <w:rPr>
          <w:rStyle w:val="DZBesediloChar"/>
          <w:noProof/>
        </w:rPr>
        <w:t>skoraj 6</w:t>
      </w:r>
      <w:r w:rsidR="001172AC">
        <w:rPr>
          <w:rStyle w:val="DZBesediloChar"/>
          <w:noProof/>
        </w:rPr>
        <w:t>9</w:t>
      </w:r>
      <w:r w:rsidR="006152A0">
        <w:rPr>
          <w:rStyle w:val="DZBesediloChar"/>
          <w:noProof/>
        </w:rPr>
        <w:t xml:space="preserve"> %. Medtem ko sta bila v železniškem potniškem prometu </w:t>
      </w:r>
      <w:r w:rsidR="00156240">
        <w:rPr>
          <w:rStyle w:val="DZBesediloChar"/>
          <w:noProof/>
        </w:rPr>
        <w:t xml:space="preserve">deleža prodajnih prihodkov in subvencij v poslovnih prihodkih v prvi polovici prejšnjega desetletja še precej izenačena, sta se po letu 2016 obseg </w:t>
      </w:r>
      <w:r w:rsidR="001D330F">
        <w:rPr>
          <w:rStyle w:val="DZBesediloChar"/>
          <w:noProof/>
        </w:rPr>
        <w:t>ter</w:t>
      </w:r>
      <w:r w:rsidR="00156240">
        <w:rPr>
          <w:rStyle w:val="DZBesediloChar"/>
          <w:noProof/>
        </w:rPr>
        <w:t xml:space="preserve"> delež subvencij precej povečala, kar je </w:t>
      </w:r>
      <w:r w:rsidR="005D4020">
        <w:rPr>
          <w:rStyle w:val="DZBesediloChar"/>
          <w:noProof/>
        </w:rPr>
        <w:t xml:space="preserve">seveda </w:t>
      </w:r>
      <w:r w:rsidR="00156240">
        <w:rPr>
          <w:rStyle w:val="DZBesediloChar"/>
          <w:noProof/>
        </w:rPr>
        <w:t xml:space="preserve">vplivalo </w:t>
      </w:r>
      <w:r w:rsidR="00FB4690">
        <w:rPr>
          <w:rStyle w:val="DZBesediloChar"/>
          <w:noProof/>
        </w:rPr>
        <w:t xml:space="preserve">tudi </w:t>
      </w:r>
      <w:r w:rsidR="00156240">
        <w:rPr>
          <w:rStyle w:val="DZBesediloChar"/>
          <w:noProof/>
        </w:rPr>
        <w:t xml:space="preserve">na </w:t>
      </w:r>
      <w:r w:rsidR="005D4020">
        <w:rPr>
          <w:rStyle w:val="DZBesediloChar"/>
          <w:noProof/>
        </w:rPr>
        <w:t xml:space="preserve">večjo </w:t>
      </w:r>
      <w:r w:rsidR="00156240">
        <w:rPr>
          <w:rStyle w:val="DZBesediloChar"/>
          <w:noProof/>
        </w:rPr>
        <w:t>poslovno uspešnost dejavnosti</w:t>
      </w:r>
      <w:r w:rsidR="000E22C8">
        <w:rPr>
          <w:rStyle w:val="DZBesediloChar"/>
          <w:noProof/>
        </w:rPr>
        <w:t>.</w:t>
      </w:r>
    </w:p>
    <w:p w14:paraId="1F09C7BF" w14:textId="3E130E26" w:rsidR="005B3835" w:rsidRPr="00714F84" w:rsidRDefault="00355D96" w:rsidP="00714F84">
      <w:pPr>
        <w:pStyle w:val="Napis"/>
      </w:pPr>
      <w:bookmarkStart w:id="35" w:name="_Hlk109044836"/>
      <w:bookmarkStart w:id="36" w:name="_Hlk113954219"/>
      <w:r w:rsidRPr="00714F84">
        <w:t xml:space="preserve">Slika </w:t>
      </w:r>
      <w:r w:rsidRPr="00714F84">
        <w:fldChar w:fldCharType="begin"/>
      </w:r>
      <w:r w:rsidRPr="00714F84">
        <w:instrText xml:space="preserve"> SEQ Slika \* ARABIC </w:instrText>
      </w:r>
      <w:r w:rsidRPr="00714F84">
        <w:fldChar w:fldCharType="separate"/>
      </w:r>
      <w:r w:rsidR="00B002B7" w:rsidRPr="00714F84">
        <w:t>4</w:t>
      </w:r>
      <w:r w:rsidRPr="00714F84">
        <w:fldChar w:fldCharType="end"/>
      </w:r>
      <w:r w:rsidRPr="00714F84">
        <w:rPr>
          <w:rStyle w:val="DZBesediloChar"/>
          <w:szCs w:val="20"/>
        </w:rPr>
        <w:t xml:space="preserve">: </w:t>
      </w:r>
      <w:r w:rsidR="00A85774" w:rsidRPr="00714F84">
        <w:rPr>
          <w:rStyle w:val="DZBesediloChar"/>
          <w:szCs w:val="20"/>
        </w:rPr>
        <w:t>V železniškem potniškem prometu se je d</w:t>
      </w:r>
      <w:r w:rsidR="00A85774" w:rsidRPr="00714F84">
        <w:t>elež subvencij v poslovnih prihodkih</w:t>
      </w:r>
      <w:r w:rsidR="005B3835" w:rsidRPr="00714F84">
        <w:t xml:space="preserve"> </w:t>
      </w:r>
      <w:r w:rsidR="00A85774" w:rsidRPr="00714F84">
        <w:t xml:space="preserve">po letu 2016 močno povečal, kar je </w:t>
      </w:r>
      <w:r w:rsidR="00D83B6D" w:rsidRPr="00714F84">
        <w:t>precej</w:t>
      </w:r>
      <w:r w:rsidR="00A85774" w:rsidRPr="00714F84">
        <w:t xml:space="preserve"> prispevalo k </w:t>
      </w:r>
      <w:r w:rsidR="0041228F" w:rsidRPr="00714F84">
        <w:t>izboljšanju poslovnih rezultatov</w:t>
      </w:r>
    </w:p>
    <w:p w14:paraId="55409BB0" w14:textId="6A0EA495" w:rsidR="00355D96" w:rsidRDefault="006A5733" w:rsidP="00714F84">
      <w:pPr>
        <w:pStyle w:val="DZBesedilo"/>
        <w:rPr>
          <w:rStyle w:val="DZBesediloChar"/>
          <w:szCs w:val="20"/>
        </w:rPr>
      </w:pPr>
      <w:r w:rsidRPr="006A5733">
        <w:rPr>
          <w:rStyle w:val="DZBesediloChar"/>
          <w:noProof/>
        </w:rPr>
        <w:drawing>
          <wp:inline distT="0" distB="0" distL="0" distR="0" wp14:anchorId="42722898" wp14:editId="6391CC76">
            <wp:extent cx="5759450" cy="2093595"/>
            <wp:effectExtent l="0" t="0" r="0" b="19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D96" w:rsidRPr="00355D96">
        <w:rPr>
          <w:rStyle w:val="DZBesediloChar"/>
          <w:szCs w:val="20"/>
        </w:rPr>
        <w:t xml:space="preserve"> </w:t>
      </w:r>
    </w:p>
    <w:p w14:paraId="2AA19CB6" w14:textId="3667DDB8" w:rsidR="002F0A04" w:rsidRDefault="002F0A04" w:rsidP="002F0A04">
      <w:pPr>
        <w:pStyle w:val="VirUMAR"/>
      </w:pPr>
      <w:r w:rsidRPr="008F6BED">
        <w:t xml:space="preserve">Vir podatkov: </w:t>
      </w:r>
      <w:r>
        <w:fldChar w:fldCharType="begin"/>
      </w:r>
      <w:r w:rsidR="007309C9">
        <w:instrText xml:space="preserve"> ADDIN ZOTERO_ITEM CSL_CITATION {"citationID":"6QdKJKF4","properties":{"formattedCitation":"(AJPES,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Pr="00B3524B">
        <w:t xml:space="preserve">AJPES </w:t>
      </w:r>
      <w:r>
        <w:t>(</w:t>
      </w:r>
      <w:r w:rsidRPr="00B3524B">
        <w:t>202</w:t>
      </w:r>
      <w:r w:rsidR="00E24CE8">
        <w:t>4</w:t>
      </w:r>
      <w:r w:rsidRPr="00B3524B">
        <w:t>)</w:t>
      </w:r>
      <w:r>
        <w:fldChar w:fldCharType="end"/>
      </w:r>
      <w:r w:rsidRPr="008F6BED">
        <w:t>, lastni izračuni.</w:t>
      </w:r>
    </w:p>
    <w:bookmarkEnd w:id="35"/>
    <w:bookmarkEnd w:id="36"/>
    <w:p w14:paraId="3DF58DD2" w14:textId="77777777" w:rsidR="002B071D" w:rsidRDefault="002B071D" w:rsidP="005B3835">
      <w:pPr>
        <w:pStyle w:val="BesediloUMAR"/>
        <w:rPr>
          <w:rStyle w:val="DZVodilnistavekChar"/>
          <w:noProof/>
        </w:rPr>
      </w:pPr>
    </w:p>
    <w:p w14:paraId="1EDB1FE3" w14:textId="3D65D134" w:rsidR="000B4C28" w:rsidRDefault="007E123C" w:rsidP="005B3835">
      <w:pPr>
        <w:pStyle w:val="BesediloUMAR"/>
        <w:rPr>
          <w:rStyle w:val="DZBesediloChar"/>
          <w:noProof/>
        </w:rPr>
      </w:pPr>
      <w:r w:rsidRPr="003F7A77">
        <w:rPr>
          <w:rStyle w:val="DZVodilnistavekChar"/>
          <w:noProof/>
        </w:rPr>
        <w:t>Dejavnost cestnega tovornega prometa</w:t>
      </w:r>
      <w:r w:rsidRPr="008137B9">
        <w:rPr>
          <w:rStyle w:val="DZVodilnistavekChar"/>
          <w:noProof/>
        </w:rPr>
        <w:t xml:space="preserve"> (podrazred H 49.410) je več let zapored močno povečevala dobiček, </w:t>
      </w:r>
      <w:r w:rsidR="00516DCE">
        <w:rPr>
          <w:rStyle w:val="DZVodilnistavekChar"/>
          <w:noProof/>
        </w:rPr>
        <w:t xml:space="preserve">ki se je </w:t>
      </w:r>
      <w:r w:rsidR="003F7A77">
        <w:rPr>
          <w:rStyle w:val="DZVodilnistavekChar"/>
          <w:noProof/>
        </w:rPr>
        <w:t xml:space="preserve">po letu 2016 </w:t>
      </w:r>
      <w:r w:rsidR="00516DCE">
        <w:rPr>
          <w:rStyle w:val="DZVodilnistavekChar"/>
          <w:noProof/>
        </w:rPr>
        <w:t>m</w:t>
      </w:r>
      <w:r w:rsidR="003F7A77">
        <w:rPr>
          <w:rStyle w:val="DZVodilnistavekChar"/>
          <w:noProof/>
        </w:rPr>
        <w:t>alo</w:t>
      </w:r>
      <w:r w:rsidRPr="008137B9">
        <w:rPr>
          <w:rStyle w:val="DZVodilnistavekChar"/>
          <w:noProof/>
        </w:rPr>
        <w:t xml:space="preserve"> zmanjšal, </w:t>
      </w:r>
      <w:r w:rsidR="00516DCE">
        <w:rPr>
          <w:rStyle w:val="DZVodilnistavekChar"/>
          <w:noProof/>
        </w:rPr>
        <w:t xml:space="preserve">po skoku </w:t>
      </w:r>
      <w:r w:rsidR="009D3EB3">
        <w:rPr>
          <w:rStyle w:val="DZVodilnistavekChar"/>
          <w:noProof/>
        </w:rPr>
        <w:t xml:space="preserve">v letu 2022 pa </w:t>
      </w:r>
      <w:r w:rsidR="00A64EA6">
        <w:rPr>
          <w:rStyle w:val="DZVodilnistavekChar"/>
          <w:noProof/>
        </w:rPr>
        <w:t xml:space="preserve">je </w:t>
      </w:r>
      <w:r w:rsidR="00516DCE">
        <w:rPr>
          <w:rStyle w:val="DZVodilnistavekChar"/>
          <w:noProof/>
        </w:rPr>
        <w:t>ostal približno enak</w:t>
      </w:r>
      <w:r w:rsidRPr="008137B9">
        <w:rPr>
          <w:rStyle w:val="DZVodilnistavekChar"/>
          <w:noProof/>
        </w:rPr>
        <w:t>.</w:t>
      </w:r>
      <w:r w:rsidRPr="008137B9">
        <w:rPr>
          <w:rStyle w:val="DZBesediloChar"/>
          <w:noProof/>
        </w:rPr>
        <w:t xml:space="preserve"> Po stečajih nekaterih večjih družb v letu 2011 je dejavnost že naslednje leto poslovala s solidnim neto čistim dobičkom, ki se je do leta 2016 okrepil na 92 mio EUR, nato pa se je do leta 2019 z</w:t>
      </w:r>
      <w:r w:rsidR="00D0590D">
        <w:rPr>
          <w:rStyle w:val="DZBesediloChar"/>
          <w:noProof/>
        </w:rPr>
        <w:t>manjšal</w:t>
      </w:r>
      <w:r w:rsidRPr="008137B9">
        <w:rPr>
          <w:rStyle w:val="DZBesediloChar"/>
          <w:noProof/>
        </w:rPr>
        <w:t xml:space="preserve"> na 66 mio EUR. Leta 2020 se je povečal na 67 mio EUR ali za slaba 2 %</w:t>
      </w:r>
      <w:r w:rsidR="00421D8D">
        <w:rPr>
          <w:rStyle w:val="DZBesediloChar"/>
          <w:noProof/>
        </w:rPr>
        <w:t>, kar pa je bilo spodbudno, saj se je sicer v večini prometnih dejavnosti poslovni izid poslabšal.</w:t>
      </w:r>
      <w:r w:rsidRPr="008137B9">
        <w:rPr>
          <w:rStyle w:val="DZBesediloChar"/>
          <w:noProof/>
        </w:rPr>
        <w:t xml:space="preserve"> V letu epidemije so se, zlasti zaradi zajezitvenih ukrepov v začetku </w:t>
      </w:r>
      <w:r w:rsidR="008F47D2">
        <w:rPr>
          <w:rStyle w:val="DZBesediloChar"/>
          <w:noProof/>
        </w:rPr>
        <w:t xml:space="preserve">njenega </w:t>
      </w:r>
      <w:r w:rsidRPr="008137B9">
        <w:rPr>
          <w:rStyle w:val="DZBesediloChar"/>
          <w:noProof/>
        </w:rPr>
        <w:t>prvega vala, v cestnem tovornem prometu prodajni prihodki z</w:t>
      </w:r>
      <w:r w:rsidR="001D42DE">
        <w:rPr>
          <w:rStyle w:val="DZBesediloChar"/>
          <w:noProof/>
        </w:rPr>
        <w:t>manjšali</w:t>
      </w:r>
      <w:r w:rsidRPr="008137B9">
        <w:rPr>
          <w:rStyle w:val="DZBesediloChar"/>
          <w:noProof/>
        </w:rPr>
        <w:t xml:space="preserve"> za več kot 4 %. Hkrati pa so se potrojile subvencije, ki so dosegle 32 mio EUR</w:t>
      </w:r>
      <w:r w:rsidR="00716463">
        <w:rPr>
          <w:rStyle w:val="DZBesediloChar"/>
          <w:noProof/>
        </w:rPr>
        <w:t>.</w:t>
      </w:r>
      <w:r w:rsidR="00D0590D">
        <w:rPr>
          <w:rStyle w:val="DZBesediloChar"/>
          <w:noProof/>
        </w:rPr>
        <w:t xml:space="preserve"> </w:t>
      </w:r>
      <w:r w:rsidR="00716463">
        <w:rPr>
          <w:rStyle w:val="DZBesediloChar"/>
          <w:noProof/>
        </w:rPr>
        <w:t>P</w:t>
      </w:r>
      <w:r w:rsidR="00D0590D">
        <w:rPr>
          <w:rStyle w:val="DZBesediloChar"/>
          <w:noProof/>
        </w:rPr>
        <w:t>red tem</w:t>
      </w:r>
      <w:r w:rsidRPr="008137B9">
        <w:rPr>
          <w:rStyle w:val="DZBesediloChar"/>
          <w:noProof/>
        </w:rPr>
        <w:t xml:space="preserve"> so se v glavnem nanašale na spodbujanje intermodalnega prevoza, v letu 2020 pa je bila tu knjižena tudi državna pomoč zaradi omejitev med epidemijo</w:t>
      </w:r>
      <w:r w:rsidR="00421D8D">
        <w:rPr>
          <w:rStyle w:val="DZBesediloChar"/>
          <w:noProof/>
        </w:rPr>
        <w:t xml:space="preserve">, ki je </w:t>
      </w:r>
      <w:r w:rsidR="004D0CEB">
        <w:rPr>
          <w:rStyle w:val="DZBesediloChar"/>
          <w:noProof/>
        </w:rPr>
        <w:t xml:space="preserve">bila znatna in je veliko </w:t>
      </w:r>
      <w:r w:rsidR="004D0CEB">
        <w:rPr>
          <w:rStyle w:val="DZBesediloChar"/>
          <w:noProof/>
        </w:rPr>
        <w:lastRenderedPageBreak/>
        <w:t>prispevala k ohranjanju dobrih poslovnih rezultatov.</w:t>
      </w:r>
      <w:r w:rsidRPr="008137B9">
        <w:rPr>
          <w:rStyle w:val="DZBesediloChar"/>
          <w:noProof/>
        </w:rPr>
        <w:t xml:space="preserve"> Povečanje te postavke je odločilno vplivalo na to, da je bilo z</w:t>
      </w:r>
      <w:r w:rsidR="002E3AEB">
        <w:rPr>
          <w:rStyle w:val="DZBesediloChar"/>
          <w:noProof/>
        </w:rPr>
        <w:t>manjšanje</w:t>
      </w:r>
      <w:r w:rsidRPr="008137B9">
        <w:rPr>
          <w:rStyle w:val="DZBesediloChar"/>
          <w:noProof/>
        </w:rPr>
        <w:t xml:space="preserve"> poslovnih prihodkov manjše od z</w:t>
      </w:r>
      <w:r w:rsidR="00C1784B">
        <w:rPr>
          <w:rStyle w:val="DZBesediloChar"/>
          <w:noProof/>
        </w:rPr>
        <w:t>manjšanja</w:t>
      </w:r>
      <w:r w:rsidRPr="008137B9">
        <w:rPr>
          <w:rStyle w:val="DZBesediloChar"/>
          <w:noProof/>
        </w:rPr>
        <w:t xml:space="preserve"> poslovnih odhodkov (</w:t>
      </w:r>
      <w:r w:rsidR="00A65E92">
        <w:rPr>
          <w:rStyle w:val="DZBesediloChar"/>
          <w:noProof/>
        </w:rPr>
        <w:t xml:space="preserve">kjer </w:t>
      </w:r>
      <w:r w:rsidRPr="008137B9">
        <w:rPr>
          <w:rStyle w:val="DZBesediloChar"/>
          <w:noProof/>
        </w:rPr>
        <w:t>so se stroški dela celo povečali) in da je bil končni poslovni rezultat</w:t>
      </w:r>
      <w:r w:rsidR="00A65E92">
        <w:rPr>
          <w:rStyle w:val="DZBesediloChar"/>
          <w:noProof/>
        </w:rPr>
        <w:t xml:space="preserve"> še </w:t>
      </w:r>
      <w:r w:rsidR="00A65E92" w:rsidRPr="008137B9">
        <w:rPr>
          <w:rStyle w:val="DZBesediloChar"/>
          <w:noProof/>
        </w:rPr>
        <w:t>izboljšan</w:t>
      </w:r>
      <w:r w:rsidRPr="008137B9">
        <w:rPr>
          <w:rStyle w:val="DZBesediloChar"/>
          <w:noProof/>
        </w:rPr>
        <w:t xml:space="preserve">. </w:t>
      </w:r>
      <w:r w:rsidR="00A65E92">
        <w:rPr>
          <w:rStyle w:val="DZBesediloChar"/>
          <w:noProof/>
        </w:rPr>
        <w:t>V letu 2021 so se prodajni prihodki povečali za prek 15 %</w:t>
      </w:r>
      <w:r w:rsidR="002448D1">
        <w:rPr>
          <w:rStyle w:val="DZBesediloChar"/>
          <w:noProof/>
        </w:rPr>
        <w:t>, subvencije so se z</w:t>
      </w:r>
      <w:r w:rsidR="00C1784B">
        <w:rPr>
          <w:rStyle w:val="DZBesediloChar"/>
          <w:noProof/>
        </w:rPr>
        <w:t>manjšale</w:t>
      </w:r>
      <w:r w:rsidR="002448D1">
        <w:rPr>
          <w:rStyle w:val="DZBesediloChar"/>
          <w:noProof/>
        </w:rPr>
        <w:t xml:space="preserve"> za tretjino, a </w:t>
      </w:r>
      <w:r w:rsidR="004D0CEB">
        <w:rPr>
          <w:rStyle w:val="DZBesediloChar"/>
          <w:noProof/>
        </w:rPr>
        <w:t>so</w:t>
      </w:r>
      <w:r w:rsidR="002448D1">
        <w:rPr>
          <w:rStyle w:val="DZBesediloChar"/>
          <w:noProof/>
        </w:rPr>
        <w:t xml:space="preserve"> glede na prejšnja leta ostale visoke</w:t>
      </w:r>
      <w:r w:rsidR="003E1CBE">
        <w:rPr>
          <w:rStyle w:val="DZBesediloChar"/>
          <w:noProof/>
        </w:rPr>
        <w:t>.</w:t>
      </w:r>
      <w:r w:rsidR="002448D1">
        <w:rPr>
          <w:rStyle w:val="DZBesediloChar"/>
          <w:noProof/>
        </w:rPr>
        <w:t xml:space="preserve"> </w:t>
      </w:r>
      <w:r w:rsidR="003E1CBE">
        <w:rPr>
          <w:rStyle w:val="DZBesediloChar"/>
          <w:noProof/>
        </w:rPr>
        <w:t>V</w:t>
      </w:r>
      <w:r w:rsidR="002448D1">
        <w:rPr>
          <w:rStyle w:val="DZBesediloChar"/>
          <w:noProof/>
        </w:rPr>
        <w:t xml:space="preserve"> nasprotni smeri pa so na poslovni rezultat vplivali stroški energije, ki so se zaradi dviga cen nafte na svetovnem trgu za dve tretjini povečali za 29 %</w:t>
      </w:r>
      <w:r w:rsidR="000F6FC2">
        <w:rPr>
          <w:rStyle w:val="DZBesediloChar"/>
          <w:noProof/>
        </w:rPr>
        <w:t xml:space="preserve"> (stroški energije </w:t>
      </w:r>
      <w:r w:rsidR="00DB0C52">
        <w:rPr>
          <w:rStyle w:val="DZBesediloChar"/>
          <w:noProof/>
        </w:rPr>
        <w:t xml:space="preserve">so </w:t>
      </w:r>
      <w:r w:rsidR="000F6FC2">
        <w:rPr>
          <w:rStyle w:val="DZBesediloChar"/>
          <w:noProof/>
        </w:rPr>
        <w:t>pomeni</w:t>
      </w:r>
      <w:r w:rsidR="00DB0C52">
        <w:rPr>
          <w:rStyle w:val="DZBesediloChar"/>
          <w:noProof/>
        </w:rPr>
        <w:t>li</w:t>
      </w:r>
      <w:r w:rsidR="000F6FC2">
        <w:rPr>
          <w:rStyle w:val="DZBesediloChar"/>
          <w:noProof/>
        </w:rPr>
        <w:t xml:space="preserve"> petino poslovnih odhodkov)</w:t>
      </w:r>
      <w:r w:rsidR="002448D1">
        <w:rPr>
          <w:rStyle w:val="DZBesediloChar"/>
          <w:noProof/>
        </w:rPr>
        <w:t xml:space="preserve">. </w:t>
      </w:r>
      <w:r w:rsidR="003E1CBE">
        <w:rPr>
          <w:rStyle w:val="DZBesediloChar"/>
          <w:noProof/>
        </w:rPr>
        <w:t>D</w:t>
      </w:r>
      <w:r w:rsidR="004D0CEB">
        <w:rPr>
          <w:rStyle w:val="DZBesediloChar"/>
          <w:noProof/>
        </w:rPr>
        <w:t>vig stroškov energije</w:t>
      </w:r>
      <w:r w:rsidR="003E1CBE">
        <w:rPr>
          <w:rStyle w:val="DZBesediloChar"/>
          <w:noProof/>
        </w:rPr>
        <w:t xml:space="preserve"> je omejil povečanje</w:t>
      </w:r>
      <w:r w:rsidR="002448D1">
        <w:rPr>
          <w:rStyle w:val="DZBesediloChar"/>
          <w:noProof/>
        </w:rPr>
        <w:t xml:space="preserve"> neto čist</w:t>
      </w:r>
      <w:r w:rsidR="003E1CBE">
        <w:rPr>
          <w:rStyle w:val="DZBesediloChar"/>
          <w:noProof/>
        </w:rPr>
        <w:t>ega</w:t>
      </w:r>
      <w:r w:rsidR="002448D1">
        <w:rPr>
          <w:rStyle w:val="DZBesediloChar"/>
          <w:noProof/>
        </w:rPr>
        <w:t xml:space="preserve"> dobičk</w:t>
      </w:r>
      <w:r w:rsidR="003E1CBE">
        <w:rPr>
          <w:rStyle w:val="DZBesediloChar"/>
          <w:noProof/>
        </w:rPr>
        <w:t>a</w:t>
      </w:r>
      <w:r w:rsidR="00F92CA0">
        <w:rPr>
          <w:rStyle w:val="DZBesediloChar"/>
          <w:noProof/>
        </w:rPr>
        <w:t>,</w:t>
      </w:r>
      <w:r w:rsidR="003E1CBE">
        <w:rPr>
          <w:rStyle w:val="DZBesediloChar"/>
          <w:noProof/>
        </w:rPr>
        <w:t xml:space="preserve"> ki je bil </w:t>
      </w:r>
      <w:r w:rsidR="003E1CBE" w:rsidRPr="007374DA">
        <w:rPr>
          <w:rStyle w:val="DZBesediloChar"/>
          <w:noProof/>
        </w:rPr>
        <w:t>večji</w:t>
      </w:r>
      <w:r w:rsidR="00D55836" w:rsidRPr="007374DA">
        <w:rPr>
          <w:rStyle w:val="DZBesediloChar"/>
          <w:noProof/>
        </w:rPr>
        <w:t xml:space="preserve"> </w:t>
      </w:r>
      <w:r w:rsidR="003E1CBE" w:rsidRPr="007374DA">
        <w:rPr>
          <w:rStyle w:val="DZBesediloChar"/>
          <w:noProof/>
        </w:rPr>
        <w:t xml:space="preserve">le </w:t>
      </w:r>
      <w:r w:rsidR="00D55836" w:rsidRPr="007374DA">
        <w:rPr>
          <w:rStyle w:val="DZBesediloChar"/>
          <w:noProof/>
        </w:rPr>
        <w:t>za okoli 4 mio EUR</w:t>
      </w:r>
      <w:r w:rsidR="003E1CBE" w:rsidRPr="007374DA">
        <w:rPr>
          <w:rStyle w:val="DZBesediloChar"/>
          <w:noProof/>
        </w:rPr>
        <w:t xml:space="preserve"> in dosegel</w:t>
      </w:r>
      <w:r w:rsidR="00D55836" w:rsidRPr="007374DA">
        <w:rPr>
          <w:rStyle w:val="DZBesediloChar"/>
          <w:noProof/>
        </w:rPr>
        <w:t xml:space="preserve"> 71 mio EUR. </w:t>
      </w:r>
      <w:r w:rsidR="00DB0C52" w:rsidRPr="007374DA">
        <w:rPr>
          <w:rStyle w:val="DZBesediloChar"/>
          <w:noProof/>
        </w:rPr>
        <w:t>V letu 2022</w:t>
      </w:r>
      <w:r w:rsidR="00FB1D0A" w:rsidRPr="007374DA">
        <w:rPr>
          <w:rStyle w:val="DZBesediloChar"/>
          <w:noProof/>
        </w:rPr>
        <w:t xml:space="preserve"> pa se je neto čisti dobiček več kot podvojil</w:t>
      </w:r>
      <w:r w:rsidR="003E1CBE" w:rsidRPr="007374DA">
        <w:rPr>
          <w:rStyle w:val="DZBesediloChar"/>
          <w:noProof/>
        </w:rPr>
        <w:t>,</w:t>
      </w:r>
      <w:r w:rsidR="00BB1617" w:rsidRPr="007374DA">
        <w:rPr>
          <w:rStyle w:val="DZBesediloChar"/>
          <w:noProof/>
        </w:rPr>
        <w:t xml:space="preserve"> </w:t>
      </w:r>
      <w:r w:rsidR="003E1CBE" w:rsidRPr="007374DA">
        <w:rPr>
          <w:rStyle w:val="DZBesediloChar"/>
          <w:noProof/>
        </w:rPr>
        <w:t>na</w:t>
      </w:r>
      <w:r w:rsidR="00FB1D0A" w:rsidRPr="007374DA">
        <w:rPr>
          <w:rStyle w:val="DZBesediloChar"/>
          <w:noProof/>
        </w:rPr>
        <w:t xml:space="preserve"> 146 mio EUR</w:t>
      </w:r>
      <w:r w:rsidR="003E1CBE" w:rsidRPr="007374DA">
        <w:rPr>
          <w:rStyle w:val="DZBesediloChar"/>
          <w:noProof/>
        </w:rPr>
        <w:t>,</w:t>
      </w:r>
      <w:r w:rsidR="00BB1617" w:rsidRPr="007374DA">
        <w:rPr>
          <w:rStyle w:val="DZBesediloChar"/>
          <w:noProof/>
        </w:rPr>
        <w:t xml:space="preserve"> </w:t>
      </w:r>
      <w:r w:rsidR="003E1CBE" w:rsidRPr="007374DA">
        <w:rPr>
          <w:rStyle w:val="DZBesediloChar"/>
          <w:noProof/>
        </w:rPr>
        <w:t>kar nakazuje, da so v</w:t>
      </w:r>
      <w:r w:rsidR="00FB1D0A" w:rsidRPr="007374DA">
        <w:rPr>
          <w:rStyle w:val="DZBesediloChar"/>
          <w:noProof/>
        </w:rPr>
        <w:t xml:space="preserve"> cestnem tovornem prometu p</w:t>
      </w:r>
      <w:r w:rsidR="005A09B0" w:rsidRPr="007374DA">
        <w:rPr>
          <w:rStyle w:val="DZBesediloChar"/>
          <w:noProof/>
        </w:rPr>
        <w:t>ovečane</w:t>
      </w:r>
      <w:r w:rsidR="00FB1D0A" w:rsidRPr="007374DA">
        <w:rPr>
          <w:rStyle w:val="DZBesediloChar"/>
          <w:noProof/>
        </w:rPr>
        <w:t xml:space="preserve"> stroške</w:t>
      </w:r>
      <w:r w:rsidR="00BB1617" w:rsidRPr="007374DA">
        <w:rPr>
          <w:rStyle w:val="DZBesediloChar"/>
          <w:noProof/>
        </w:rPr>
        <w:t>, zlasti</w:t>
      </w:r>
      <w:r w:rsidR="003E1CBE" w:rsidRPr="007374DA">
        <w:rPr>
          <w:rStyle w:val="DZBesediloChar"/>
          <w:noProof/>
        </w:rPr>
        <w:t xml:space="preserve"> energije</w:t>
      </w:r>
      <w:r w:rsidR="00BB1617" w:rsidRPr="007374DA">
        <w:rPr>
          <w:rStyle w:val="DZBesediloChar"/>
          <w:noProof/>
        </w:rPr>
        <w:t xml:space="preserve">, </w:t>
      </w:r>
      <w:r w:rsidR="00FB1D0A" w:rsidRPr="007374DA">
        <w:rPr>
          <w:rStyle w:val="DZBesediloChar"/>
          <w:noProof/>
        </w:rPr>
        <w:t>več kot nadoknadi</w:t>
      </w:r>
      <w:r w:rsidR="003E1CBE" w:rsidRPr="007374DA">
        <w:rPr>
          <w:rStyle w:val="DZBesediloChar"/>
          <w:noProof/>
        </w:rPr>
        <w:t>l</w:t>
      </w:r>
      <w:r w:rsidR="00FB1D0A" w:rsidRPr="007374DA">
        <w:rPr>
          <w:rStyle w:val="DZBesediloChar"/>
          <w:noProof/>
        </w:rPr>
        <w:t xml:space="preserve">i </w:t>
      </w:r>
      <w:r w:rsidR="005A09B0" w:rsidRPr="007374DA">
        <w:rPr>
          <w:rStyle w:val="DZBesediloChar"/>
          <w:noProof/>
        </w:rPr>
        <w:t xml:space="preserve">z višjimi </w:t>
      </w:r>
      <w:r w:rsidR="00FB1D0A" w:rsidRPr="007374DA">
        <w:rPr>
          <w:rStyle w:val="DZBesediloChar"/>
          <w:noProof/>
        </w:rPr>
        <w:t>cen</w:t>
      </w:r>
      <w:r w:rsidR="005A09B0" w:rsidRPr="007374DA">
        <w:rPr>
          <w:rStyle w:val="DZBesediloChar"/>
          <w:noProof/>
        </w:rPr>
        <w:t>ami</w:t>
      </w:r>
      <w:r w:rsidR="00FB1D0A" w:rsidRPr="007374DA">
        <w:rPr>
          <w:rStyle w:val="DZBesediloChar"/>
          <w:noProof/>
        </w:rPr>
        <w:t xml:space="preserve"> svojih storitev. Prodajni</w:t>
      </w:r>
      <w:r w:rsidR="00FB1D0A">
        <w:rPr>
          <w:rStyle w:val="DZBesediloChar"/>
          <w:noProof/>
        </w:rPr>
        <w:t xml:space="preserve"> in poslovni prihodki so se povečali za 18 %, poslovni odhodki pa le za 16 %. </w:t>
      </w:r>
      <w:r w:rsidR="000A117A">
        <w:rPr>
          <w:rStyle w:val="DZBesediloChar"/>
          <w:noProof/>
        </w:rPr>
        <w:t>Rast poslovnih prihodkov ni bila povezana s subvencijami (pomočjo države), saj so se te za desetino z</w:t>
      </w:r>
      <w:r w:rsidR="007426CC">
        <w:rPr>
          <w:rStyle w:val="DZBesediloChar"/>
          <w:noProof/>
        </w:rPr>
        <w:t>manjšale</w:t>
      </w:r>
      <w:r w:rsidR="000A117A">
        <w:rPr>
          <w:rStyle w:val="DZBesediloChar"/>
          <w:noProof/>
        </w:rPr>
        <w:t xml:space="preserve">. </w:t>
      </w:r>
      <w:r w:rsidR="00FB1D0A">
        <w:rPr>
          <w:rStyle w:val="DZBesediloChar"/>
          <w:noProof/>
        </w:rPr>
        <w:t xml:space="preserve">Pri poslovnih odhodkih so se zaradi podražitve nafte na svetovnem trgu </w:t>
      </w:r>
      <w:r w:rsidR="00374073">
        <w:rPr>
          <w:rStyle w:val="DZBesediloChar"/>
          <w:noProof/>
        </w:rPr>
        <w:t>(</w:t>
      </w:r>
      <w:r w:rsidR="00FB1D0A">
        <w:rPr>
          <w:rStyle w:val="DZBesediloChar"/>
          <w:noProof/>
        </w:rPr>
        <w:t>za več kot dve petini</w:t>
      </w:r>
      <w:r w:rsidR="00374073">
        <w:rPr>
          <w:rStyle w:val="DZBesediloChar"/>
          <w:noProof/>
        </w:rPr>
        <w:t>)</w:t>
      </w:r>
      <w:r w:rsidR="00FB1D0A">
        <w:rPr>
          <w:rStyle w:val="DZBesediloChar"/>
          <w:noProof/>
        </w:rPr>
        <w:t xml:space="preserve"> najbolj povečali stroški energije, za </w:t>
      </w:r>
      <w:r w:rsidR="000A117A">
        <w:rPr>
          <w:rStyle w:val="DZBesediloChar"/>
          <w:noProof/>
        </w:rPr>
        <w:t xml:space="preserve">37 %, a so se na drugi strani stroški dela in stroški storitev povečali le za 11 %, kar je najbolj prispevalo k močno izboljšanemu poslovnemu izidu. </w:t>
      </w:r>
      <w:r w:rsidR="001439B8">
        <w:rPr>
          <w:rStyle w:val="DZBesediloChar"/>
          <w:noProof/>
        </w:rPr>
        <w:t>V letu 2023 se je</w:t>
      </w:r>
      <w:r w:rsidR="001439B8" w:rsidRPr="001439B8">
        <w:rPr>
          <w:rStyle w:val="DZBesediloChar"/>
          <w:noProof/>
        </w:rPr>
        <w:t xml:space="preserve"> </w:t>
      </w:r>
      <w:r w:rsidR="001439B8">
        <w:rPr>
          <w:rStyle w:val="DZBesediloChar"/>
          <w:noProof/>
        </w:rPr>
        <w:t>neto čisti dobiček še povečal, a skromno, za 3 mio EUR, na 150 mio EUR</w:t>
      </w:r>
      <w:r w:rsidR="00DD2058">
        <w:rPr>
          <w:rStyle w:val="DZBesediloChar"/>
          <w:noProof/>
        </w:rPr>
        <w:t>, ker so, ob sicer ugodnem izidu iz poslovanja, zabeležili tudi poslabšanje izida iz financiranja zarad</w:t>
      </w:r>
      <w:r w:rsidR="00374073">
        <w:rPr>
          <w:rStyle w:val="DZBesediloChar"/>
          <w:noProof/>
        </w:rPr>
        <w:t>i</w:t>
      </w:r>
      <w:r w:rsidR="00DD2058">
        <w:rPr>
          <w:rStyle w:val="DZBesediloChar"/>
          <w:noProof/>
        </w:rPr>
        <w:t xml:space="preserve"> povečanja finančnih odhodkov iz finančnih obveznosti </w:t>
      </w:r>
      <w:r w:rsidR="00374073">
        <w:rPr>
          <w:rStyle w:val="DZBesediloChar"/>
          <w:noProof/>
        </w:rPr>
        <w:t xml:space="preserve">ob povišanih </w:t>
      </w:r>
      <w:r w:rsidR="00DD2058">
        <w:rPr>
          <w:rStyle w:val="DZBesediloChar"/>
          <w:noProof/>
        </w:rPr>
        <w:t>obrest</w:t>
      </w:r>
      <w:r w:rsidR="00374073">
        <w:rPr>
          <w:rStyle w:val="DZBesediloChar"/>
          <w:noProof/>
        </w:rPr>
        <w:t>nih merah</w:t>
      </w:r>
      <w:r w:rsidR="00DD2058">
        <w:rPr>
          <w:rStyle w:val="DZBesediloChar"/>
          <w:noProof/>
        </w:rPr>
        <w:t>.</w:t>
      </w:r>
    </w:p>
    <w:p w14:paraId="227DCD97" w14:textId="77777777" w:rsidR="00610F1A" w:rsidRDefault="00610F1A" w:rsidP="005B3835">
      <w:pPr>
        <w:pStyle w:val="BesediloUMAR"/>
        <w:rPr>
          <w:rStyle w:val="DZBesediloChar"/>
          <w:noProof/>
        </w:rPr>
      </w:pPr>
    </w:p>
    <w:tbl>
      <w:tblPr>
        <w:tblStyle w:val="UMARokvi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002B7" w14:paraId="0DC41D86" w14:textId="77777777" w:rsidTr="00714F84">
        <w:tc>
          <w:tcPr>
            <w:tcW w:w="9070" w:type="dxa"/>
          </w:tcPr>
          <w:p w14:paraId="367FCC00" w14:textId="647DFFF8" w:rsidR="00B002B7" w:rsidRDefault="00B002B7" w:rsidP="00610F1A">
            <w:pPr>
              <w:pStyle w:val="Napis"/>
              <w:spacing w:before="120" w:after="120"/>
            </w:pPr>
            <w:bookmarkStart w:id="37" w:name="_Toc528327256"/>
            <w:r>
              <w:t xml:space="preserve">Okvir </w:t>
            </w:r>
            <w:r>
              <w:fldChar w:fldCharType="begin"/>
            </w:r>
            <w:r>
              <w:instrText xml:space="preserve"> SEQ Okvir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: </w:t>
            </w:r>
            <w:bookmarkEnd w:id="37"/>
            <w:r>
              <w:t>Samostojni podjetniki v cestnem tovornem prometu</w:t>
            </w:r>
          </w:p>
          <w:p w14:paraId="2B779384" w14:textId="17065FBC" w:rsidR="00B002B7" w:rsidRDefault="00B002B7" w:rsidP="0076625F">
            <w:pPr>
              <w:pStyle w:val="BesediloUMAR"/>
            </w:pPr>
            <w:r w:rsidRPr="000B4C28">
              <w:rPr>
                <w:rStyle w:val="DZBesediloChar"/>
                <w:b/>
                <w:bCs/>
                <w:noProof/>
              </w:rPr>
              <w:t xml:space="preserve">V cestnem tovornem prometu poleg gospodarskih družb velik del </w:t>
            </w:r>
            <w:r>
              <w:rPr>
                <w:rStyle w:val="DZBesediloChar"/>
                <w:b/>
                <w:bCs/>
                <w:noProof/>
              </w:rPr>
              <w:t>prevozov opravijo</w:t>
            </w:r>
            <w:r w:rsidRPr="000B4C28">
              <w:rPr>
                <w:rStyle w:val="DZBesediloChar"/>
                <w:b/>
                <w:bCs/>
                <w:noProof/>
              </w:rPr>
              <w:t xml:space="preserve"> tudi samostojni podjetniki in </w:t>
            </w:r>
            <w:r w:rsidR="00355059">
              <w:rPr>
                <w:rStyle w:val="DZBesediloChar"/>
                <w:b/>
                <w:bCs/>
                <w:noProof/>
              </w:rPr>
              <w:t xml:space="preserve">njihovi </w:t>
            </w:r>
            <w:r w:rsidRPr="000B4C28">
              <w:rPr>
                <w:rStyle w:val="DZBesediloChar"/>
                <w:b/>
                <w:bCs/>
                <w:noProof/>
              </w:rPr>
              <w:t>zaposleni</w:t>
            </w:r>
            <w:r w:rsidR="00D52B82">
              <w:rPr>
                <w:rStyle w:val="DZBesediloChar"/>
                <w:b/>
                <w:bCs/>
                <w:noProof/>
              </w:rPr>
              <w:t>, v letu 2023 je neto podjetnikov dohodek presegel najvišje vrednosti iz let 2015–2016</w:t>
            </w:r>
            <w:r w:rsidRPr="000B4C28">
              <w:rPr>
                <w:rStyle w:val="DZBesediloChar"/>
                <w:b/>
                <w:bCs/>
                <w:noProof/>
              </w:rPr>
              <w:t>.</w:t>
            </w:r>
            <w:r>
              <w:rPr>
                <w:rStyle w:val="DZBesediloChar"/>
                <w:noProof/>
              </w:rPr>
              <w:t xml:space="preserve"> </w:t>
            </w:r>
            <w:r w:rsidR="00D52B82">
              <w:rPr>
                <w:rStyle w:val="DZBesediloChar"/>
                <w:noProof/>
              </w:rPr>
              <w:t>Š</w:t>
            </w:r>
            <w:r>
              <w:rPr>
                <w:rStyle w:val="DZBesediloChar"/>
                <w:noProof/>
              </w:rPr>
              <w:t>tevilo</w:t>
            </w:r>
            <w:r w:rsidR="00D52B82">
              <w:rPr>
                <w:rStyle w:val="DZBesediloChar"/>
                <w:noProof/>
              </w:rPr>
              <w:t xml:space="preserve"> samostojnih podjetnikov</w:t>
            </w:r>
            <w:r>
              <w:rPr>
                <w:rStyle w:val="DZBesediloChar"/>
                <w:noProof/>
              </w:rPr>
              <w:t xml:space="preserve"> </w:t>
            </w:r>
            <w:r w:rsidR="00446AC4">
              <w:rPr>
                <w:rStyle w:val="DZBesediloChar"/>
                <w:noProof/>
              </w:rPr>
              <w:t xml:space="preserve">se je </w:t>
            </w:r>
            <w:r>
              <w:rPr>
                <w:rStyle w:val="DZBesediloChar"/>
                <w:noProof/>
              </w:rPr>
              <w:t>v daljšem obdobju z</w:t>
            </w:r>
            <w:r w:rsidR="00BC5D04">
              <w:rPr>
                <w:rStyle w:val="DZBesediloChar"/>
                <w:noProof/>
              </w:rPr>
              <w:t>manjševalo</w:t>
            </w:r>
            <w:r>
              <w:rPr>
                <w:rStyle w:val="DZBesediloChar"/>
                <w:noProof/>
              </w:rPr>
              <w:t>, medtem ko se je število zaposlenih pri družbah močno povečalo</w:t>
            </w:r>
            <w:r w:rsidR="000B78BD">
              <w:rPr>
                <w:rStyle w:val="DZBesediloChar"/>
                <w:noProof/>
              </w:rPr>
              <w:t>,</w:t>
            </w:r>
            <w:r w:rsidR="000B78BD">
              <w:rPr>
                <w:rStyle w:val="DZBesediloChar"/>
              </w:rPr>
              <w:t xml:space="preserve"> zlasti med letoma 2013 in 2019</w:t>
            </w:r>
            <w:r>
              <w:rPr>
                <w:rStyle w:val="DZBesediloChar"/>
                <w:noProof/>
              </w:rPr>
              <w:t>. V letu 2008 je bilo podjetnikov in pri njih zaposlenih še nekoliko več kot zaposlenih pri prevozniških družbah, v letu 202</w:t>
            </w:r>
            <w:r w:rsidR="000B78BD">
              <w:rPr>
                <w:rStyle w:val="DZBesediloChar"/>
                <w:noProof/>
              </w:rPr>
              <w:t>3</w:t>
            </w:r>
            <w:r>
              <w:rPr>
                <w:rStyle w:val="DZBesediloChar"/>
                <w:noProof/>
              </w:rPr>
              <w:t xml:space="preserve"> pa je bilo to razmerje </w:t>
            </w:r>
            <w:r w:rsidRPr="001E0FB8">
              <w:rPr>
                <w:rStyle w:val="DZBesediloChar"/>
                <w:noProof/>
              </w:rPr>
              <w:t xml:space="preserve">že </w:t>
            </w:r>
            <w:r w:rsidR="000B78BD">
              <w:rPr>
                <w:rStyle w:val="DZBesediloChar"/>
                <w:noProof/>
              </w:rPr>
              <w:t>o</w:t>
            </w:r>
            <w:r w:rsidR="000B78BD">
              <w:rPr>
                <w:rStyle w:val="DZBesediloChar"/>
              </w:rPr>
              <w:t>koli</w:t>
            </w:r>
            <w:r w:rsidRPr="00FF27C3">
              <w:rPr>
                <w:rStyle w:val="DZBesediloChar"/>
                <w:noProof/>
              </w:rPr>
              <w:t xml:space="preserve"> 1:</w:t>
            </w:r>
            <w:r w:rsidRPr="00E310B7">
              <w:rPr>
                <w:rStyle w:val="DZBesediloChar"/>
                <w:noProof/>
              </w:rPr>
              <w:t>3</w:t>
            </w:r>
            <w:r w:rsidRPr="00634F52">
              <w:rPr>
                <w:rStyle w:val="DZBesediloChar"/>
                <w:noProof/>
              </w:rPr>
              <w:t xml:space="preserve"> v korist</w:t>
            </w:r>
            <w:r w:rsidRPr="00C606D8">
              <w:rPr>
                <w:rStyle w:val="DZBesediloChar"/>
                <w:noProof/>
              </w:rPr>
              <w:t xml:space="preserve"> zaposlenih</w:t>
            </w:r>
            <w:r>
              <w:rPr>
                <w:rStyle w:val="DZBesediloChar"/>
                <w:noProof/>
              </w:rPr>
              <w:t xml:space="preserve"> pri družbah. </w:t>
            </w:r>
            <w:r w:rsidR="006F7E69">
              <w:rPr>
                <w:rStyle w:val="DZBesediloChar"/>
                <w:noProof/>
              </w:rPr>
              <w:t>N</w:t>
            </w:r>
            <w:r>
              <w:rPr>
                <w:rStyle w:val="DZBesediloChar"/>
                <w:noProof/>
              </w:rPr>
              <w:t>eto podjetnikov dohodek (ki vključuje tudi zaslužek</w:t>
            </w:r>
            <w:r w:rsidR="008C275C">
              <w:rPr>
                <w:rStyle w:val="DZBesediloChar"/>
                <w:noProof/>
              </w:rPr>
              <w:t xml:space="preserve"> oziroma </w:t>
            </w:r>
            <w:r>
              <w:rPr>
                <w:rStyle w:val="DZBesediloChar"/>
                <w:noProof/>
              </w:rPr>
              <w:t>»plačo« podjetnika)</w:t>
            </w:r>
            <w:r w:rsidR="006F7E69">
              <w:rPr>
                <w:rStyle w:val="DZBesediloChar"/>
                <w:noProof/>
              </w:rPr>
              <w:t xml:space="preserve"> </w:t>
            </w:r>
            <w:r w:rsidR="006F7E69">
              <w:rPr>
                <w:rStyle w:val="DZBesediloChar"/>
              </w:rPr>
              <w:t>se je le deloma gibal podobno kot neto čisti dobiček pri družbah in se je</w:t>
            </w:r>
            <w:r>
              <w:rPr>
                <w:rStyle w:val="DZBesediloChar"/>
                <w:noProof/>
              </w:rPr>
              <w:t xml:space="preserve"> v zadnjih nekaj letih </w:t>
            </w:r>
            <w:r w:rsidR="006F7E69">
              <w:rPr>
                <w:rStyle w:val="DZBesediloChar"/>
                <w:noProof/>
              </w:rPr>
              <w:t>poveč</w:t>
            </w:r>
            <w:r w:rsidR="00215863">
              <w:rPr>
                <w:rStyle w:val="DZBesediloChar"/>
                <w:noProof/>
              </w:rPr>
              <w:t>eval</w:t>
            </w:r>
            <w:r>
              <w:rPr>
                <w:rStyle w:val="DZBesediloChar"/>
                <w:noProof/>
              </w:rPr>
              <w:t xml:space="preserve">, </w:t>
            </w:r>
            <w:r w:rsidR="006F7E69">
              <w:rPr>
                <w:rStyle w:val="DZBesediloChar"/>
                <w:noProof/>
              </w:rPr>
              <w:t xml:space="preserve">tudi </w:t>
            </w:r>
            <w:r>
              <w:rPr>
                <w:rStyle w:val="DZBesediloChar"/>
                <w:noProof/>
              </w:rPr>
              <w:t>v letu 202</w:t>
            </w:r>
            <w:r w:rsidR="006F7E69">
              <w:rPr>
                <w:rStyle w:val="DZBesediloChar"/>
                <w:noProof/>
              </w:rPr>
              <w:t xml:space="preserve">3, ko se je neto dobiček </w:t>
            </w:r>
            <w:r w:rsidR="00B70C84">
              <w:rPr>
                <w:rStyle w:val="DZBesediloChar"/>
                <w:noProof/>
              </w:rPr>
              <w:t xml:space="preserve">prometnih </w:t>
            </w:r>
            <w:r w:rsidR="006F7E69">
              <w:rPr>
                <w:rStyle w:val="DZBesediloChar"/>
                <w:noProof/>
              </w:rPr>
              <w:t xml:space="preserve">družb </w:t>
            </w:r>
            <w:r w:rsidR="00D52B82">
              <w:rPr>
                <w:rStyle w:val="DZBesediloChar"/>
                <w:noProof/>
              </w:rPr>
              <w:t xml:space="preserve">nekoliko </w:t>
            </w:r>
            <w:r w:rsidR="006F7E69">
              <w:rPr>
                <w:rStyle w:val="DZBesediloChar"/>
                <w:noProof/>
              </w:rPr>
              <w:t>zmanjšal</w:t>
            </w:r>
            <w:r>
              <w:rPr>
                <w:rStyle w:val="DZBesediloChar"/>
                <w:noProof/>
              </w:rPr>
              <w:t>. Glede na to</w:t>
            </w:r>
            <w:r w:rsidR="00644259">
              <w:rPr>
                <w:rStyle w:val="DZBesediloChar"/>
                <w:noProof/>
              </w:rPr>
              <w:t>,</w:t>
            </w:r>
            <w:r>
              <w:rPr>
                <w:rStyle w:val="DZBesediloChar"/>
                <w:noProof/>
              </w:rPr>
              <w:t xml:space="preserve"> da se je v opazovanem obdobju število samostojnih podjetnikov prevoznikov skoraj prepolovilo, se je dohodek na podjetnika </w:t>
            </w:r>
            <w:r w:rsidR="00B70C84">
              <w:rPr>
                <w:rStyle w:val="DZBesediloChar"/>
                <w:noProof/>
              </w:rPr>
              <w:t xml:space="preserve">več kot </w:t>
            </w:r>
            <w:r>
              <w:rPr>
                <w:rStyle w:val="DZBesediloChar"/>
                <w:noProof/>
              </w:rPr>
              <w:t>podvojil.</w:t>
            </w:r>
          </w:p>
          <w:p w14:paraId="3CE264E3" w14:textId="38C9291A" w:rsidR="00B002B7" w:rsidRDefault="00B002B7" w:rsidP="00B002B7">
            <w:pPr>
              <w:pStyle w:val="Napis"/>
            </w:pPr>
            <w:r w:rsidRPr="00355D96">
              <w:t xml:space="preserve">Slika </w:t>
            </w:r>
            <w:r w:rsidRPr="00355D96">
              <w:fldChar w:fldCharType="begin"/>
            </w:r>
            <w:r w:rsidRPr="00355D96">
              <w:instrText xml:space="preserve"> SEQ Slika \* ARABIC </w:instrText>
            </w:r>
            <w:r w:rsidRPr="00355D96">
              <w:fldChar w:fldCharType="separate"/>
            </w:r>
            <w:r>
              <w:t>5</w:t>
            </w:r>
            <w:r w:rsidRPr="00355D96">
              <w:fldChar w:fldCharType="end"/>
            </w:r>
            <w:r w:rsidRPr="00355D96">
              <w:rPr>
                <w:rStyle w:val="DZBesediloChar"/>
                <w:szCs w:val="20"/>
              </w:rPr>
              <w:t xml:space="preserve">: </w:t>
            </w:r>
            <w:r>
              <w:rPr>
                <w:rStyle w:val="DZBesediloChar"/>
                <w:szCs w:val="20"/>
              </w:rPr>
              <w:t>V cestnem tovornem prometu se je število samostojnih podjetnikov in pri njih zaposlenih z</w:t>
            </w:r>
            <w:r w:rsidR="00215863">
              <w:rPr>
                <w:rStyle w:val="DZBesediloChar"/>
                <w:szCs w:val="20"/>
              </w:rPr>
              <w:t>manjševalo</w:t>
            </w:r>
            <w:r>
              <w:rPr>
                <w:rStyle w:val="DZBesediloChar"/>
                <w:szCs w:val="20"/>
              </w:rPr>
              <w:t xml:space="preserve"> </w:t>
            </w:r>
            <w:r w:rsidR="00954CA3">
              <w:rPr>
                <w:rStyle w:val="DZBesediloChar"/>
                <w:szCs w:val="20"/>
              </w:rPr>
              <w:t xml:space="preserve">zlasti </w:t>
            </w:r>
            <w:r>
              <w:rPr>
                <w:rStyle w:val="DZBesediloChar"/>
                <w:szCs w:val="20"/>
              </w:rPr>
              <w:t xml:space="preserve">do sredine prejšnjega desetletja, </w:t>
            </w:r>
            <w:r w:rsidR="00954CA3">
              <w:rPr>
                <w:rStyle w:val="DZBesediloChar"/>
                <w:szCs w:val="20"/>
              </w:rPr>
              <w:t>ko</w:t>
            </w:r>
            <w:r>
              <w:rPr>
                <w:rStyle w:val="DZBesediloChar"/>
                <w:szCs w:val="20"/>
              </w:rPr>
              <w:t xml:space="preserve"> pa se je </w:t>
            </w:r>
            <w:r w:rsidR="00954CA3">
              <w:rPr>
                <w:rStyle w:val="DZBesediloChar"/>
                <w:szCs w:val="20"/>
              </w:rPr>
              <w:t xml:space="preserve">že </w:t>
            </w:r>
            <w:r>
              <w:rPr>
                <w:rStyle w:val="DZBesediloChar"/>
                <w:szCs w:val="20"/>
              </w:rPr>
              <w:t>močno povečala zaposlenost pri družbah</w:t>
            </w:r>
          </w:p>
          <w:p w14:paraId="54453D8B" w14:textId="2CD2D99E" w:rsidR="00B002B7" w:rsidRDefault="005B15B0" w:rsidP="00B002B7">
            <w:pPr>
              <w:pStyle w:val="VirUMAR"/>
            </w:pPr>
            <w:r w:rsidRPr="005B15B0">
              <w:rPr>
                <w:noProof/>
              </w:rPr>
              <w:drawing>
                <wp:inline distT="0" distB="0" distL="0" distR="0" wp14:anchorId="2FBC8FF3" wp14:editId="7D15C09D">
                  <wp:extent cx="5466905" cy="2009998"/>
                  <wp:effectExtent l="0" t="0" r="63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4110" cy="201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E82FD" w14:textId="619C8038" w:rsidR="00B002B7" w:rsidRPr="00747002" w:rsidRDefault="00B002B7" w:rsidP="00610F1A">
            <w:pPr>
              <w:pStyle w:val="VirUMAR"/>
              <w:spacing w:after="120"/>
            </w:pPr>
            <w:r w:rsidRPr="008F6BED">
              <w:t xml:space="preserve">Vir podatkov: </w:t>
            </w:r>
            <w:r>
              <w:fldChar w:fldCharType="begin"/>
            </w:r>
            <w:r>
              <w:instrText xml:space="preserve"> ADDIN ZOTERO_ITEM CSL_CITATION {"citationID":"6QdKJKF4","properties":{"formattedCitation":"(AJPES,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      </w:r>
            <w:r>
              <w:fldChar w:fldCharType="separate"/>
            </w:r>
            <w:r w:rsidRPr="00B3524B">
              <w:t xml:space="preserve">AJPES </w:t>
            </w:r>
            <w:r>
              <w:t>(</w:t>
            </w:r>
            <w:r w:rsidRPr="00B3524B">
              <w:t>202</w:t>
            </w:r>
            <w:r w:rsidR="005B15B0">
              <w:t>4</w:t>
            </w:r>
            <w:r w:rsidRPr="00B3524B">
              <w:t>)</w:t>
            </w:r>
            <w:r>
              <w:fldChar w:fldCharType="end"/>
            </w:r>
            <w:r w:rsidRPr="008F6BED">
              <w:t>, lastni izračuni.</w:t>
            </w:r>
          </w:p>
        </w:tc>
      </w:tr>
    </w:tbl>
    <w:p w14:paraId="6346FEA1" w14:textId="77777777" w:rsidR="00610F1A" w:rsidRPr="00610F1A" w:rsidRDefault="00610F1A" w:rsidP="00610F1A">
      <w:pPr>
        <w:pStyle w:val="BesediloUMAR"/>
        <w:rPr>
          <w:rStyle w:val="DZVodilnistavekChar"/>
          <w:b w:val="0"/>
        </w:rPr>
      </w:pPr>
      <w:bookmarkStart w:id="38" w:name="_Toc528327260"/>
    </w:p>
    <w:p w14:paraId="26BF9055" w14:textId="3592FED5" w:rsidR="00DB0C00" w:rsidRDefault="00E06C1C" w:rsidP="00DB0C00">
      <w:pPr>
        <w:pStyle w:val="BesediloUMAR"/>
      </w:pPr>
      <w:r w:rsidRPr="008137B9">
        <w:rPr>
          <w:rStyle w:val="DZVodilnistavekChar"/>
          <w:noProof/>
        </w:rPr>
        <w:lastRenderedPageBreak/>
        <w:t xml:space="preserve">V mestnem in primestnem kopenskem potniškem prometu (razred H 49.31) </w:t>
      </w:r>
      <w:r w:rsidR="009730F7">
        <w:rPr>
          <w:rStyle w:val="DZVodilnistavekChar"/>
          <w:noProof/>
        </w:rPr>
        <w:t xml:space="preserve">in </w:t>
      </w:r>
      <w:r w:rsidR="009730F7" w:rsidRPr="008137B9">
        <w:rPr>
          <w:rStyle w:val="DZVodilnistavekChar"/>
          <w:noProof/>
        </w:rPr>
        <w:t xml:space="preserve">v medkrajevnem </w:t>
      </w:r>
      <w:r w:rsidR="006212E4">
        <w:rPr>
          <w:rStyle w:val="DZVodilnistavekChar"/>
          <w:noProof/>
        </w:rPr>
        <w:t>ter</w:t>
      </w:r>
      <w:r w:rsidR="009730F7" w:rsidRPr="008137B9">
        <w:rPr>
          <w:rStyle w:val="DZVodilnistavekChar"/>
          <w:noProof/>
        </w:rPr>
        <w:t xml:space="preserve"> drugem cestnem potniškem prometu (podrazred H 49.391) </w:t>
      </w:r>
      <w:r w:rsidR="009730F7">
        <w:rPr>
          <w:rStyle w:val="DZVodilnistavekChar"/>
          <w:noProof/>
        </w:rPr>
        <w:t>se je</w:t>
      </w:r>
      <w:r w:rsidR="00B31855">
        <w:rPr>
          <w:rStyle w:val="DZVodilnistavekChar"/>
          <w:noProof/>
        </w:rPr>
        <w:t xml:space="preserve"> po</w:t>
      </w:r>
      <w:r w:rsidR="009730F7">
        <w:rPr>
          <w:rStyle w:val="DZVodilnistavekChar"/>
          <w:noProof/>
        </w:rPr>
        <w:t xml:space="preserve"> </w:t>
      </w:r>
      <w:r w:rsidR="00F92CA0">
        <w:rPr>
          <w:rStyle w:val="DZVodilnistavekChar"/>
          <w:noProof/>
        </w:rPr>
        <w:t>epidem</w:t>
      </w:r>
      <w:r w:rsidR="00615593">
        <w:rPr>
          <w:rStyle w:val="DZVodilnistavekChar"/>
          <w:noProof/>
        </w:rPr>
        <w:t>ioloških</w:t>
      </w:r>
      <w:r w:rsidR="00F92CA0">
        <w:rPr>
          <w:rStyle w:val="DZVodilnistavekChar"/>
          <w:noProof/>
        </w:rPr>
        <w:t xml:space="preserve"> </w:t>
      </w:r>
      <w:r w:rsidR="009730F7">
        <w:rPr>
          <w:rStyle w:val="DZVodilnistavekChar"/>
          <w:noProof/>
        </w:rPr>
        <w:t>omejitv</w:t>
      </w:r>
      <w:r w:rsidR="00B31855">
        <w:rPr>
          <w:rStyle w:val="DZVodilnistavekChar"/>
          <w:noProof/>
        </w:rPr>
        <w:t>ah</w:t>
      </w:r>
      <w:r w:rsidR="00D52B82">
        <w:rPr>
          <w:rStyle w:val="DZVodilnistavekChar"/>
          <w:noProof/>
        </w:rPr>
        <w:t xml:space="preserve"> v letu 20</w:t>
      </w:r>
      <w:r w:rsidR="00375F4D">
        <w:rPr>
          <w:rStyle w:val="DZVodilnistavekChar"/>
          <w:noProof/>
        </w:rPr>
        <w:t>2</w:t>
      </w:r>
      <w:r w:rsidR="00D52B82">
        <w:rPr>
          <w:rStyle w:val="DZVodilnistavekChar"/>
          <w:noProof/>
        </w:rPr>
        <w:t>0</w:t>
      </w:r>
      <w:r w:rsidRPr="008137B9">
        <w:rPr>
          <w:rStyle w:val="DZVodilnistavekChar"/>
          <w:noProof/>
        </w:rPr>
        <w:t xml:space="preserve"> v </w:t>
      </w:r>
      <w:r w:rsidR="00267F1B">
        <w:rPr>
          <w:rStyle w:val="DZVodilnistavekChar"/>
          <w:noProof/>
        </w:rPr>
        <w:t xml:space="preserve">naslednjih </w:t>
      </w:r>
      <w:r w:rsidRPr="008137B9">
        <w:rPr>
          <w:rStyle w:val="DZVodilnistavekChar"/>
          <w:noProof/>
        </w:rPr>
        <w:t>let</w:t>
      </w:r>
      <w:r w:rsidR="00B31855">
        <w:rPr>
          <w:rStyle w:val="DZVodilnistavekChar"/>
          <w:noProof/>
        </w:rPr>
        <w:t>ih</w:t>
      </w:r>
      <w:r w:rsidRPr="008137B9">
        <w:rPr>
          <w:rStyle w:val="DZVodilnistavekChar"/>
          <w:noProof/>
        </w:rPr>
        <w:t xml:space="preserve"> poslova</w:t>
      </w:r>
      <w:r w:rsidR="009730F7">
        <w:rPr>
          <w:rStyle w:val="DZVodilnistavekChar"/>
          <w:noProof/>
        </w:rPr>
        <w:t xml:space="preserve">nje </w:t>
      </w:r>
      <w:r w:rsidR="009730F7" w:rsidRPr="008E5CF4">
        <w:rPr>
          <w:rStyle w:val="DZVodilnistavekChar"/>
          <w:noProof/>
        </w:rPr>
        <w:t xml:space="preserve">vračalo v </w:t>
      </w:r>
      <w:r w:rsidR="008E5CF4" w:rsidRPr="00336505">
        <w:rPr>
          <w:rStyle w:val="DZVodilnistavekChar"/>
          <w:noProof/>
        </w:rPr>
        <w:t>ustaljene</w:t>
      </w:r>
      <w:r w:rsidR="00336505">
        <w:rPr>
          <w:rStyle w:val="DZVodilnistavekChar"/>
          <w:noProof/>
        </w:rPr>
        <w:t xml:space="preserve"> </w:t>
      </w:r>
      <w:r w:rsidR="009730F7" w:rsidRPr="008E5CF4">
        <w:rPr>
          <w:rStyle w:val="DZVodilnistavekChar"/>
          <w:noProof/>
        </w:rPr>
        <w:t>tirnice</w:t>
      </w:r>
      <w:r w:rsidRPr="007042D7">
        <w:rPr>
          <w:rStyle w:val="DZVodilnistavekChar"/>
          <w:noProof/>
        </w:rPr>
        <w:t>.</w:t>
      </w:r>
      <w:r w:rsidRPr="008137B9">
        <w:rPr>
          <w:rStyle w:val="DZBesediloChar"/>
          <w:noProof/>
        </w:rPr>
        <w:t xml:space="preserve"> V prvi dejavnosti so od leta 2008 nekaj let imeli </w:t>
      </w:r>
      <w:r w:rsidR="00267F1B">
        <w:rPr>
          <w:rStyle w:val="DZBesediloChar"/>
          <w:noProof/>
        </w:rPr>
        <w:t>znatno</w:t>
      </w:r>
      <w:r w:rsidRPr="008137B9">
        <w:rPr>
          <w:rStyle w:val="DZBesediloChar"/>
          <w:noProof/>
        </w:rPr>
        <w:t xml:space="preserve"> izgubo, </w:t>
      </w:r>
      <w:r w:rsidR="009730F7">
        <w:rPr>
          <w:rStyle w:val="DZBesediloChar"/>
          <w:noProof/>
        </w:rPr>
        <w:t>od leta 2013</w:t>
      </w:r>
      <w:r w:rsidRPr="008137B9">
        <w:rPr>
          <w:rStyle w:val="DZBesediloChar"/>
          <w:noProof/>
        </w:rPr>
        <w:t xml:space="preserve"> pa v večini let skromen dobiček. Izjemi sta bili let</w:t>
      </w:r>
      <w:r w:rsidR="00E30A04">
        <w:rPr>
          <w:rStyle w:val="DZBesediloChar"/>
          <w:noProof/>
        </w:rPr>
        <w:t>o</w:t>
      </w:r>
      <w:r w:rsidRPr="008137B9">
        <w:rPr>
          <w:rStyle w:val="DZBesediloChar"/>
          <w:noProof/>
        </w:rPr>
        <w:t xml:space="preserve"> 2018, ko je neto čista izguba presegala 6 mio EUR</w:t>
      </w:r>
      <w:r w:rsidR="003C0666">
        <w:rPr>
          <w:rStyle w:val="DZBesediloChar"/>
          <w:noProof/>
        </w:rPr>
        <w:t>,</w:t>
      </w:r>
      <w:r w:rsidRPr="008137B9">
        <w:rPr>
          <w:rStyle w:val="DZBesediloChar"/>
          <w:noProof/>
        </w:rPr>
        <w:t xml:space="preserve"> </w:t>
      </w:r>
      <w:r w:rsidR="003C0666">
        <w:rPr>
          <w:rStyle w:val="DZBesediloChar"/>
          <w:noProof/>
        </w:rPr>
        <w:t>in</w:t>
      </w:r>
      <w:r w:rsidRPr="008137B9">
        <w:rPr>
          <w:rStyle w:val="DZBesediloChar"/>
          <w:noProof/>
        </w:rPr>
        <w:t xml:space="preserve"> let</w:t>
      </w:r>
      <w:r w:rsidR="00E30A04">
        <w:rPr>
          <w:rStyle w:val="DZBesediloChar"/>
          <w:noProof/>
        </w:rPr>
        <w:t>o</w:t>
      </w:r>
      <w:r w:rsidRPr="008137B9">
        <w:rPr>
          <w:rStyle w:val="DZBesediloChar"/>
          <w:noProof/>
        </w:rPr>
        <w:t xml:space="preserve"> 2020, ko je presegla 1 mio EUR. </w:t>
      </w:r>
      <w:r w:rsidR="00F63F93">
        <w:rPr>
          <w:rStyle w:val="DZBesediloChar"/>
          <w:noProof/>
        </w:rPr>
        <w:t>V letu 2020 so se p</w:t>
      </w:r>
      <w:r w:rsidRPr="008137B9">
        <w:rPr>
          <w:rStyle w:val="DZBesediloChar"/>
          <w:noProof/>
        </w:rPr>
        <w:t xml:space="preserve">rodajni prihodki </w:t>
      </w:r>
      <w:r w:rsidR="00F63F93">
        <w:rPr>
          <w:rStyle w:val="DZBesediloChar"/>
          <w:noProof/>
        </w:rPr>
        <w:t xml:space="preserve">sicer </w:t>
      </w:r>
      <w:r w:rsidRPr="00336505">
        <w:rPr>
          <w:rStyle w:val="DZBesediloChar"/>
          <w:noProof/>
        </w:rPr>
        <w:t>z</w:t>
      </w:r>
      <w:r w:rsidR="00287FC3" w:rsidRPr="00336505">
        <w:rPr>
          <w:rStyle w:val="DZBesediloChar"/>
          <w:noProof/>
        </w:rPr>
        <w:t>manjšali</w:t>
      </w:r>
      <w:r w:rsidRPr="008137B9">
        <w:rPr>
          <w:rStyle w:val="DZBesediloChar"/>
          <w:noProof/>
        </w:rPr>
        <w:t xml:space="preserve"> </w:t>
      </w:r>
      <w:r w:rsidR="00926217">
        <w:rPr>
          <w:rStyle w:val="DZBesediloChar"/>
          <w:noProof/>
        </w:rPr>
        <w:t xml:space="preserve">skoraj </w:t>
      </w:r>
      <w:r w:rsidRPr="008137B9">
        <w:rPr>
          <w:rStyle w:val="DZBesediloChar"/>
          <w:noProof/>
        </w:rPr>
        <w:t xml:space="preserve">za </w:t>
      </w:r>
      <w:r w:rsidR="00926217">
        <w:rPr>
          <w:rStyle w:val="DZBesediloChar"/>
          <w:noProof/>
        </w:rPr>
        <w:t>polovico</w:t>
      </w:r>
      <w:r w:rsidRPr="008137B9">
        <w:rPr>
          <w:rStyle w:val="DZBesediloChar"/>
          <w:noProof/>
        </w:rPr>
        <w:t xml:space="preserve">, </w:t>
      </w:r>
      <w:r w:rsidR="00F63F93">
        <w:rPr>
          <w:rStyle w:val="DZBesediloChar"/>
          <w:noProof/>
        </w:rPr>
        <w:t xml:space="preserve">a so </w:t>
      </w:r>
      <w:r w:rsidR="00F34238">
        <w:rPr>
          <w:rStyle w:val="DZBesediloChar"/>
          <w:noProof/>
        </w:rPr>
        <w:t xml:space="preserve">se </w:t>
      </w:r>
      <w:r w:rsidRPr="008137B9">
        <w:rPr>
          <w:rStyle w:val="DZBesediloChar"/>
          <w:noProof/>
        </w:rPr>
        <w:t xml:space="preserve">subvencije ohranile </w:t>
      </w:r>
      <w:r w:rsidR="00F34238">
        <w:rPr>
          <w:rStyle w:val="DZBesediloChar"/>
          <w:noProof/>
        </w:rPr>
        <w:t>na prejšnji ravni, močno pa s</w:t>
      </w:r>
      <w:r w:rsidRPr="008137B9">
        <w:rPr>
          <w:rStyle w:val="DZBesediloChar"/>
          <w:noProof/>
        </w:rPr>
        <w:t xml:space="preserve">o se povečali drugi poslovni prihodki, tako da se končni poslovni rezultat v letu epidemije ni </w:t>
      </w:r>
      <w:r w:rsidR="00F34238">
        <w:rPr>
          <w:rStyle w:val="DZBesediloChar"/>
          <w:noProof/>
        </w:rPr>
        <w:t>zelo</w:t>
      </w:r>
      <w:r w:rsidRPr="008137B9">
        <w:rPr>
          <w:rStyle w:val="DZBesediloChar"/>
          <w:noProof/>
        </w:rPr>
        <w:t xml:space="preserve"> poslabšal. </w:t>
      </w:r>
      <w:r w:rsidR="00132169">
        <w:rPr>
          <w:rStyle w:val="DZBesediloChar"/>
          <w:noProof/>
        </w:rPr>
        <w:t>V letu 2021 so se v mestnem potniškem prometu prodajni prihodki</w:t>
      </w:r>
      <w:r w:rsidR="00926217">
        <w:rPr>
          <w:rStyle w:val="DZBesediloChar"/>
          <w:noProof/>
        </w:rPr>
        <w:t xml:space="preserve"> okrepili</w:t>
      </w:r>
      <w:r w:rsidR="00132169">
        <w:rPr>
          <w:rStyle w:val="DZBesediloChar"/>
          <w:noProof/>
        </w:rPr>
        <w:t>, kar je kljub precejšnjem</w:t>
      </w:r>
      <w:r w:rsidR="00EE472D">
        <w:rPr>
          <w:rStyle w:val="DZBesediloChar"/>
          <w:noProof/>
        </w:rPr>
        <w:t>u</w:t>
      </w:r>
      <w:r w:rsidR="00132169">
        <w:rPr>
          <w:rStyle w:val="DZBesediloChar"/>
          <w:noProof/>
        </w:rPr>
        <w:t xml:space="preserve"> z</w:t>
      </w:r>
      <w:r w:rsidR="00EE472D">
        <w:rPr>
          <w:rStyle w:val="DZBesediloChar"/>
          <w:noProof/>
        </w:rPr>
        <w:t>manjšanju</w:t>
      </w:r>
      <w:r w:rsidR="00132169">
        <w:rPr>
          <w:rStyle w:val="DZBesediloChar"/>
          <w:noProof/>
        </w:rPr>
        <w:t xml:space="preserve"> subvencij </w:t>
      </w:r>
      <w:r w:rsidR="003142A5">
        <w:rPr>
          <w:rStyle w:val="DZBesediloChar"/>
          <w:noProof/>
        </w:rPr>
        <w:t xml:space="preserve">znova </w:t>
      </w:r>
      <w:r w:rsidR="00132169">
        <w:rPr>
          <w:rStyle w:val="DZBesediloChar"/>
          <w:noProof/>
        </w:rPr>
        <w:t xml:space="preserve">pomenilo pozitivno poslovanje. </w:t>
      </w:r>
      <w:r w:rsidR="00EF7310">
        <w:rPr>
          <w:rStyle w:val="DZBesediloChar"/>
          <w:noProof/>
        </w:rPr>
        <w:t>V let</w:t>
      </w:r>
      <w:r w:rsidR="00267F1B">
        <w:rPr>
          <w:rStyle w:val="DZBesediloChar"/>
          <w:noProof/>
        </w:rPr>
        <w:t>ih</w:t>
      </w:r>
      <w:r w:rsidR="00EF7310">
        <w:rPr>
          <w:rStyle w:val="DZBesediloChar"/>
          <w:noProof/>
        </w:rPr>
        <w:t xml:space="preserve"> 2022 </w:t>
      </w:r>
      <w:r w:rsidR="00267F1B">
        <w:rPr>
          <w:rStyle w:val="DZBesediloChar"/>
          <w:noProof/>
        </w:rPr>
        <w:t xml:space="preserve">in 2023 </w:t>
      </w:r>
      <w:r w:rsidR="00EF7310">
        <w:rPr>
          <w:rStyle w:val="DZBesediloChar"/>
          <w:noProof/>
        </w:rPr>
        <w:t xml:space="preserve">se je poslovanje z majhnim dobičkom nadaljevalo, delež subvencij v poslovnih prihodkih pa se je </w:t>
      </w:r>
      <w:r w:rsidR="00AC1704">
        <w:rPr>
          <w:rStyle w:val="DZBesediloChar"/>
          <w:noProof/>
        </w:rPr>
        <w:t>povečal</w:t>
      </w:r>
      <w:r w:rsidR="00EF7310">
        <w:rPr>
          <w:rStyle w:val="DZBesediloChar"/>
          <w:noProof/>
        </w:rPr>
        <w:t xml:space="preserve"> na</w:t>
      </w:r>
      <w:r w:rsidR="00267F1B">
        <w:rPr>
          <w:rStyle w:val="DZBesediloChar"/>
          <w:noProof/>
        </w:rPr>
        <w:t xml:space="preserve"> prek</w:t>
      </w:r>
      <w:r w:rsidR="00EF7310">
        <w:rPr>
          <w:rStyle w:val="DZBesediloChar"/>
          <w:noProof/>
        </w:rPr>
        <w:t xml:space="preserve"> 4</w:t>
      </w:r>
      <w:r w:rsidR="00267F1B">
        <w:rPr>
          <w:rStyle w:val="DZBesediloChar"/>
          <w:noProof/>
        </w:rPr>
        <w:t>8</w:t>
      </w:r>
      <w:r w:rsidR="00EF7310">
        <w:rPr>
          <w:rStyle w:val="DZBesediloChar"/>
          <w:noProof/>
        </w:rPr>
        <w:t xml:space="preserve"> %. </w:t>
      </w:r>
      <w:r w:rsidRPr="008137B9">
        <w:rPr>
          <w:rStyle w:val="DZBesediloChar"/>
          <w:noProof/>
        </w:rPr>
        <w:t xml:space="preserve">V medkrajevnem avtobusnem prometu so v prejšnjih letih poslovali z velikim dobičkom, ki se je v letu 2019 </w:t>
      </w:r>
      <w:r w:rsidR="00CF79D8">
        <w:rPr>
          <w:rStyle w:val="DZBesediloChar"/>
          <w:noProof/>
        </w:rPr>
        <w:t xml:space="preserve">še </w:t>
      </w:r>
      <w:r w:rsidRPr="008137B9">
        <w:rPr>
          <w:rStyle w:val="DZBesediloChar"/>
          <w:noProof/>
        </w:rPr>
        <w:t>povečal</w:t>
      </w:r>
      <w:r w:rsidR="00CF79D8">
        <w:rPr>
          <w:rStyle w:val="DZBesediloChar"/>
          <w:noProof/>
        </w:rPr>
        <w:t>,</w:t>
      </w:r>
      <w:r w:rsidRPr="008137B9">
        <w:rPr>
          <w:rStyle w:val="DZBesediloChar"/>
          <w:noProof/>
        </w:rPr>
        <w:t xml:space="preserve"> na prek 19 mio EUR</w:t>
      </w:r>
      <w:r w:rsidR="00CF79D8">
        <w:rPr>
          <w:rStyle w:val="DZBesediloChar"/>
          <w:noProof/>
        </w:rPr>
        <w:t>, predvsem</w:t>
      </w:r>
      <w:r w:rsidRPr="008137B9">
        <w:rPr>
          <w:rStyle w:val="DZBesediloChar"/>
          <w:noProof/>
        </w:rPr>
        <w:t xml:space="preserve"> zaradi povečanih finančnih prihodkov iz deležev v družbah v skupini. V letu 2020 je dobiček strmoglavil in zabeležili so več kot 6 mio EUR neto čiste izgube</w:t>
      </w:r>
      <w:r w:rsidR="00CF79D8">
        <w:rPr>
          <w:rStyle w:val="DZBesediloChar"/>
          <w:noProof/>
        </w:rPr>
        <w:t>, saj so p</w:t>
      </w:r>
      <w:r w:rsidRPr="008137B9">
        <w:rPr>
          <w:rStyle w:val="DZBesediloChar"/>
          <w:noProof/>
        </w:rPr>
        <w:t xml:space="preserve">rodajni prihodki upadli </w:t>
      </w:r>
      <w:r w:rsidR="00CF79D8">
        <w:rPr>
          <w:rStyle w:val="DZBesediloChar"/>
          <w:noProof/>
        </w:rPr>
        <w:t xml:space="preserve">kar </w:t>
      </w:r>
      <w:r w:rsidRPr="008137B9">
        <w:rPr>
          <w:rStyle w:val="DZBesediloChar"/>
          <w:noProof/>
        </w:rPr>
        <w:t>za 55 %</w:t>
      </w:r>
      <w:r w:rsidR="005064A9">
        <w:rPr>
          <w:rStyle w:val="DZBesediloChar"/>
          <w:noProof/>
        </w:rPr>
        <w:t>.</w:t>
      </w:r>
      <w:r w:rsidRPr="008137B9">
        <w:rPr>
          <w:rStyle w:val="DZBesediloChar"/>
          <w:noProof/>
        </w:rPr>
        <w:t xml:space="preserve"> </w:t>
      </w:r>
      <w:r w:rsidR="005064A9">
        <w:rPr>
          <w:rStyle w:val="DZBesediloChar"/>
          <w:noProof/>
        </w:rPr>
        <w:t>S</w:t>
      </w:r>
      <w:r w:rsidRPr="008137B9">
        <w:rPr>
          <w:rStyle w:val="DZBesediloChar"/>
          <w:noProof/>
        </w:rPr>
        <w:t xml:space="preserve">ubvencije (z dodatno državno pomočjo zaradi epidemije) so se </w:t>
      </w:r>
      <w:r w:rsidR="005064A9">
        <w:rPr>
          <w:rStyle w:val="DZBesediloChar"/>
          <w:noProof/>
        </w:rPr>
        <w:t xml:space="preserve">sicer </w:t>
      </w:r>
      <w:r w:rsidRPr="008137B9">
        <w:rPr>
          <w:rStyle w:val="DZBesediloChar"/>
          <w:noProof/>
        </w:rPr>
        <w:t>močno okrepile, za dve tretjini</w:t>
      </w:r>
      <w:r w:rsidR="00DC5816">
        <w:rPr>
          <w:rStyle w:val="DZBesediloChar"/>
          <w:noProof/>
        </w:rPr>
        <w:t>,</w:t>
      </w:r>
      <w:r w:rsidRPr="008137B9">
        <w:rPr>
          <w:rStyle w:val="DZBesediloChar"/>
          <w:noProof/>
        </w:rPr>
        <w:t xml:space="preserve"> in dosegle 63 mio EUR</w:t>
      </w:r>
      <w:r w:rsidR="005064A9">
        <w:rPr>
          <w:rStyle w:val="DZBesediloChar"/>
          <w:noProof/>
        </w:rPr>
        <w:t>,</w:t>
      </w:r>
      <w:r w:rsidRPr="008137B9">
        <w:rPr>
          <w:rStyle w:val="DZBesediloChar"/>
          <w:noProof/>
        </w:rPr>
        <w:t xml:space="preserve"> </w:t>
      </w:r>
      <w:r w:rsidR="005064A9">
        <w:rPr>
          <w:rStyle w:val="DZBesediloChar"/>
          <w:noProof/>
        </w:rPr>
        <w:t xml:space="preserve">a </w:t>
      </w:r>
      <w:r w:rsidRPr="008137B9">
        <w:rPr>
          <w:rStyle w:val="DZBesediloChar"/>
          <w:noProof/>
        </w:rPr>
        <w:t xml:space="preserve">so se poslovni prihodki </w:t>
      </w:r>
      <w:r w:rsidR="005064A9">
        <w:rPr>
          <w:rStyle w:val="DZBesediloChar"/>
          <w:noProof/>
        </w:rPr>
        <w:t xml:space="preserve">vseeno </w:t>
      </w:r>
      <w:r w:rsidRPr="008137B9">
        <w:rPr>
          <w:rStyle w:val="DZBesediloChar"/>
          <w:noProof/>
        </w:rPr>
        <w:t>z</w:t>
      </w:r>
      <w:r w:rsidR="006409B7">
        <w:rPr>
          <w:rStyle w:val="DZBesediloChar"/>
          <w:noProof/>
        </w:rPr>
        <w:t>manjšali</w:t>
      </w:r>
      <w:r w:rsidRPr="008137B9">
        <w:rPr>
          <w:rStyle w:val="DZBesediloChar"/>
          <w:noProof/>
        </w:rPr>
        <w:t xml:space="preserve"> </w:t>
      </w:r>
      <w:r w:rsidR="00DC5816">
        <w:rPr>
          <w:rStyle w:val="DZBesediloChar"/>
          <w:noProof/>
        </w:rPr>
        <w:t>precej</w:t>
      </w:r>
      <w:r w:rsidR="00EF7310">
        <w:rPr>
          <w:rStyle w:val="DZBesediloChar"/>
          <w:noProof/>
        </w:rPr>
        <w:t xml:space="preserve"> </w:t>
      </w:r>
      <w:r w:rsidRPr="008137B9">
        <w:rPr>
          <w:rStyle w:val="DZBesediloChar"/>
          <w:noProof/>
        </w:rPr>
        <w:t>bolj od poslovnih odhodkov.</w:t>
      </w:r>
      <w:r w:rsidR="00926217">
        <w:rPr>
          <w:rStyle w:val="DZBesediloChar"/>
          <w:noProof/>
        </w:rPr>
        <w:t xml:space="preserve"> V letu 2021</w:t>
      </w:r>
      <w:r w:rsidR="00257DE6">
        <w:rPr>
          <w:rStyle w:val="DZBesediloChar"/>
          <w:noProof/>
        </w:rPr>
        <w:t xml:space="preserve"> so se prodajni prihodki ob rahljanju omejitvenih ukrepov </w:t>
      </w:r>
      <w:r w:rsidR="009A7884">
        <w:rPr>
          <w:rStyle w:val="DZBesediloChar"/>
          <w:noProof/>
        </w:rPr>
        <w:t xml:space="preserve">zaradi </w:t>
      </w:r>
      <w:r w:rsidR="00257DE6">
        <w:rPr>
          <w:rStyle w:val="DZBesediloChar"/>
          <w:noProof/>
        </w:rPr>
        <w:t>epidemij</w:t>
      </w:r>
      <w:r w:rsidR="009A7884">
        <w:rPr>
          <w:rStyle w:val="DZBesediloChar"/>
          <w:noProof/>
        </w:rPr>
        <w:t>e</w:t>
      </w:r>
      <w:r w:rsidR="00257DE6">
        <w:rPr>
          <w:rStyle w:val="DZBesediloChar"/>
          <w:noProof/>
        </w:rPr>
        <w:t xml:space="preserve"> povečali, na </w:t>
      </w:r>
      <w:r w:rsidR="008E5411">
        <w:rPr>
          <w:rStyle w:val="DZBesediloChar"/>
          <w:noProof/>
        </w:rPr>
        <w:t>sicer</w:t>
      </w:r>
      <w:r w:rsidR="00257DE6">
        <w:rPr>
          <w:rStyle w:val="DZBesediloChar"/>
          <w:noProof/>
        </w:rPr>
        <w:t xml:space="preserve"> nižjo raven kot pred epidemijo, subvencije pa so ostale povečane, kar je bilo dovolj</w:t>
      </w:r>
      <w:r w:rsidR="004357E4">
        <w:rPr>
          <w:rStyle w:val="DZBesediloChar"/>
          <w:noProof/>
        </w:rPr>
        <w:t xml:space="preserve"> za ponovno </w:t>
      </w:r>
      <w:r w:rsidR="008E5411">
        <w:rPr>
          <w:rStyle w:val="DZBesediloChar"/>
          <w:noProof/>
        </w:rPr>
        <w:t xml:space="preserve">soliden neto čisti dobiček, </w:t>
      </w:r>
      <w:r w:rsidR="0060567F">
        <w:rPr>
          <w:rStyle w:val="DZBesediloChar"/>
          <w:noProof/>
        </w:rPr>
        <w:t>9 mio EUR.</w:t>
      </w:r>
      <w:r w:rsidR="007C12BD">
        <w:rPr>
          <w:rStyle w:val="DZBesediloChar"/>
          <w:noProof/>
        </w:rPr>
        <w:t xml:space="preserve"> V letu 2022 se je </w:t>
      </w:r>
      <w:r w:rsidR="008E5411">
        <w:rPr>
          <w:rStyle w:val="DZBesediloChar"/>
          <w:noProof/>
        </w:rPr>
        <w:t>ta ob manjših subvencijah in povečanih prodajnih prihodkih</w:t>
      </w:r>
      <w:r w:rsidR="007C12BD">
        <w:rPr>
          <w:rStyle w:val="DZBesediloChar"/>
          <w:noProof/>
        </w:rPr>
        <w:t xml:space="preserve"> </w:t>
      </w:r>
      <w:r w:rsidR="003142A5">
        <w:rPr>
          <w:rStyle w:val="DZBesediloChar"/>
          <w:noProof/>
        </w:rPr>
        <w:t xml:space="preserve">povečal </w:t>
      </w:r>
      <w:r w:rsidR="007C12BD">
        <w:rPr>
          <w:rStyle w:val="DZBesediloChar"/>
          <w:noProof/>
        </w:rPr>
        <w:t xml:space="preserve">na prek 10 mio EUR, </w:t>
      </w:r>
      <w:r w:rsidR="008E5411">
        <w:rPr>
          <w:rStyle w:val="DZBesediloChar"/>
          <w:noProof/>
        </w:rPr>
        <w:t>v letu 2023</w:t>
      </w:r>
      <w:r w:rsidR="0065147E">
        <w:rPr>
          <w:rStyle w:val="DZBesediloChar"/>
          <w:noProof/>
        </w:rPr>
        <w:t xml:space="preserve"> pa kar na 25 mio EUR</w:t>
      </w:r>
      <w:r w:rsidR="00351F0A">
        <w:rPr>
          <w:rStyle w:val="DZBesediloChar"/>
          <w:noProof/>
        </w:rPr>
        <w:t xml:space="preserve">, </w:t>
      </w:r>
      <w:r w:rsidR="007C12BD">
        <w:rPr>
          <w:rStyle w:val="DZBesediloChar"/>
          <w:noProof/>
        </w:rPr>
        <w:t>saj so se</w:t>
      </w:r>
      <w:r w:rsidR="00351F0A">
        <w:rPr>
          <w:rStyle w:val="DZBesediloChar"/>
          <w:noProof/>
        </w:rPr>
        <w:t xml:space="preserve"> prodajni prihodki in subvencije povečali precej bolj od poslovnih odhodkov</w:t>
      </w:r>
      <w:r w:rsidR="007C12BD">
        <w:rPr>
          <w:rStyle w:val="DZBesediloChar"/>
          <w:noProof/>
        </w:rPr>
        <w:t xml:space="preserve">. Delež subvencij v poslovnih prihodkih </w:t>
      </w:r>
      <w:r w:rsidR="00351F0A">
        <w:rPr>
          <w:rStyle w:val="DZBesediloChar"/>
          <w:noProof/>
        </w:rPr>
        <w:t xml:space="preserve">pa </w:t>
      </w:r>
      <w:r w:rsidR="00F025C2">
        <w:rPr>
          <w:rStyle w:val="DZBesediloChar"/>
          <w:noProof/>
        </w:rPr>
        <w:t xml:space="preserve">se </w:t>
      </w:r>
      <w:r w:rsidR="007C12BD">
        <w:rPr>
          <w:rStyle w:val="DZBesediloChar"/>
          <w:noProof/>
        </w:rPr>
        <w:t xml:space="preserve">je </w:t>
      </w:r>
      <w:r w:rsidR="003142A5">
        <w:rPr>
          <w:rStyle w:val="DZBesediloChar"/>
          <w:noProof/>
        </w:rPr>
        <w:t xml:space="preserve">še </w:t>
      </w:r>
      <w:r w:rsidR="007C12BD">
        <w:rPr>
          <w:rStyle w:val="DZBesediloChar"/>
          <w:noProof/>
        </w:rPr>
        <w:t>z</w:t>
      </w:r>
      <w:r w:rsidR="00736D49">
        <w:rPr>
          <w:rStyle w:val="DZBesediloChar"/>
          <w:noProof/>
        </w:rPr>
        <w:t>manjšal</w:t>
      </w:r>
      <w:r w:rsidR="00351F0A">
        <w:rPr>
          <w:rStyle w:val="DZBesediloChar"/>
          <w:noProof/>
        </w:rPr>
        <w:t xml:space="preserve">, </w:t>
      </w:r>
      <w:r w:rsidR="00F025C2">
        <w:rPr>
          <w:rStyle w:val="DZBesediloChar"/>
          <w:noProof/>
        </w:rPr>
        <w:t>na 2</w:t>
      </w:r>
      <w:r w:rsidR="00351F0A">
        <w:rPr>
          <w:rStyle w:val="DZBesediloChar"/>
          <w:noProof/>
        </w:rPr>
        <w:t>5</w:t>
      </w:r>
      <w:r w:rsidR="00F025C2">
        <w:rPr>
          <w:rStyle w:val="DZBesediloChar"/>
          <w:noProof/>
        </w:rPr>
        <w:t> %.</w:t>
      </w:r>
    </w:p>
    <w:p w14:paraId="1E10C18E" w14:textId="5EDDED4F" w:rsidR="00DB0C00" w:rsidRDefault="00DB0C00" w:rsidP="00DB0C00">
      <w:pPr>
        <w:pStyle w:val="Napis"/>
      </w:pPr>
      <w:r w:rsidRPr="007374DA">
        <w:t xml:space="preserve">Slika </w:t>
      </w:r>
      <w:r w:rsidRPr="007374DA">
        <w:fldChar w:fldCharType="begin"/>
      </w:r>
      <w:r w:rsidRPr="007374DA">
        <w:instrText xml:space="preserve"> SEQ Slika \* ARABIC </w:instrText>
      </w:r>
      <w:r w:rsidRPr="007374DA">
        <w:fldChar w:fldCharType="separate"/>
      </w:r>
      <w:r w:rsidR="00B002B7" w:rsidRPr="007374DA">
        <w:t>6</w:t>
      </w:r>
      <w:r w:rsidRPr="007374DA">
        <w:fldChar w:fldCharType="end"/>
      </w:r>
      <w:r w:rsidRPr="007374DA">
        <w:rPr>
          <w:rStyle w:val="DZBesediloChar"/>
          <w:szCs w:val="20"/>
        </w:rPr>
        <w:t xml:space="preserve">: </w:t>
      </w:r>
      <w:r w:rsidR="000D0DA7" w:rsidRPr="007374DA">
        <w:t xml:space="preserve">V </w:t>
      </w:r>
      <w:r w:rsidR="002F7B95" w:rsidRPr="007374DA">
        <w:t xml:space="preserve">mestnem in </w:t>
      </w:r>
      <w:r w:rsidR="000D0DA7" w:rsidRPr="007374DA">
        <w:t xml:space="preserve">medkrajevnem potniškem prometu </w:t>
      </w:r>
      <w:r w:rsidR="002F7B95" w:rsidRPr="007374DA">
        <w:t>so k izboljševanju poslovanja po</w:t>
      </w:r>
      <w:r w:rsidR="00F025C2" w:rsidRPr="007374DA">
        <w:t xml:space="preserve"> letu 2020 </w:t>
      </w:r>
      <w:r w:rsidR="002F7B95" w:rsidRPr="007374DA">
        <w:t>prispevali tako višji prodajni prihodki, kot tudi povečane subvencije v okviru poslovnih prihodkov</w:t>
      </w:r>
      <w:r w:rsidRPr="00CE2BF4">
        <w:t xml:space="preserve"> </w:t>
      </w:r>
    </w:p>
    <w:p w14:paraId="03DE32AA" w14:textId="43868F0A" w:rsidR="00DB0C00" w:rsidRDefault="005B15B0" w:rsidP="00714F84">
      <w:pPr>
        <w:pStyle w:val="DZBesedilo"/>
        <w:rPr>
          <w:rStyle w:val="DZBesediloChar"/>
          <w:szCs w:val="20"/>
        </w:rPr>
      </w:pPr>
      <w:r w:rsidRPr="005B15B0">
        <w:rPr>
          <w:rStyle w:val="DZBesediloChar"/>
          <w:noProof/>
        </w:rPr>
        <w:drawing>
          <wp:inline distT="0" distB="0" distL="0" distR="0" wp14:anchorId="3FF42EB6" wp14:editId="173D6023">
            <wp:extent cx="5759450" cy="237617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C00" w:rsidRPr="00355D96">
        <w:rPr>
          <w:rStyle w:val="DZBesediloChar"/>
          <w:szCs w:val="20"/>
        </w:rPr>
        <w:t xml:space="preserve"> </w:t>
      </w:r>
      <w:r w:rsidR="00D17D55">
        <w:rPr>
          <w:rStyle w:val="DZBesediloChar"/>
          <w:szCs w:val="20"/>
        </w:rPr>
        <w:t xml:space="preserve">     </w:t>
      </w:r>
    </w:p>
    <w:p w14:paraId="7E4A6192" w14:textId="74212D14" w:rsidR="00DB0C00" w:rsidRDefault="00DB0C00" w:rsidP="00DB0C00">
      <w:pPr>
        <w:pStyle w:val="VirUMAR"/>
      </w:pPr>
      <w:r w:rsidRPr="008F6BED">
        <w:t xml:space="preserve">Vir podatkov: </w:t>
      </w:r>
      <w:r>
        <w:fldChar w:fldCharType="begin"/>
      </w:r>
      <w:r>
        <w:instrText xml:space="preserve"> ADDIN ZOTERO_ITEM CSL_CITATION {"citationID":"tI2h8bA7","properties":{"formattedCitation":"(AJPES,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Pr="00B3524B">
        <w:t xml:space="preserve">AJPES </w:t>
      </w:r>
      <w:r>
        <w:t>(</w:t>
      </w:r>
      <w:r w:rsidRPr="00B3524B">
        <w:t>202</w:t>
      </w:r>
      <w:r w:rsidR="005B15B0">
        <w:t>4</w:t>
      </w:r>
      <w:r w:rsidRPr="00B3524B">
        <w:t>)</w:t>
      </w:r>
      <w:r>
        <w:fldChar w:fldCharType="end"/>
      </w:r>
      <w:r w:rsidRPr="008F6BED">
        <w:t>, lastni izračuni.</w:t>
      </w:r>
      <w:r w:rsidR="00D17D55">
        <w:t xml:space="preserve">  </w:t>
      </w:r>
    </w:p>
    <w:p w14:paraId="5C2DA588" w14:textId="77777777" w:rsidR="00D17D55" w:rsidRDefault="00D17D55" w:rsidP="00DB0C00">
      <w:pPr>
        <w:pStyle w:val="BesediloUMAR"/>
        <w:rPr>
          <w:rStyle w:val="DZVodilnistavekChar"/>
          <w:noProof/>
        </w:rPr>
      </w:pPr>
    </w:p>
    <w:p w14:paraId="6CCC54E9" w14:textId="464CA085" w:rsidR="00C7492C" w:rsidRDefault="00C7492C" w:rsidP="00DB0C00">
      <w:pPr>
        <w:pStyle w:val="BesediloUMAR"/>
        <w:rPr>
          <w:rStyle w:val="DZVodilnistavekChar"/>
          <w:noProof/>
        </w:rPr>
      </w:pPr>
      <w:r>
        <w:rPr>
          <w:rStyle w:val="DZVodilnistavekChar"/>
          <w:noProof/>
        </w:rPr>
        <w:t>Cevovodni transport je sicer v okviru kopenskega prometa manjša</w:t>
      </w:r>
      <w:r w:rsidR="00D81626">
        <w:rPr>
          <w:rStyle w:val="DZVodilnistavekChar"/>
          <w:noProof/>
        </w:rPr>
        <w:t>, a pomembna</w:t>
      </w:r>
      <w:r>
        <w:rPr>
          <w:rStyle w:val="DZVodilnistavekChar"/>
          <w:noProof/>
        </w:rPr>
        <w:t xml:space="preserve"> dejavnost</w:t>
      </w:r>
      <w:r w:rsidR="00D81626">
        <w:rPr>
          <w:rStyle w:val="DZVodilnistavekChar"/>
          <w:noProof/>
        </w:rPr>
        <w:t xml:space="preserve">, ki omogoča oskrbo Slovenije z zemeljskim plinom po plinovodnem omrežju. </w:t>
      </w:r>
      <w:r w:rsidR="00D81626">
        <w:rPr>
          <w:rStyle w:val="DZVodilnistavekChar"/>
          <w:b w:val="0"/>
          <w:bCs/>
          <w:noProof/>
        </w:rPr>
        <w:t xml:space="preserve">Dejavnost je v zadnjem več kot desetletnem obdobju poslovala stabilno, z neto čistim dobičkom </w:t>
      </w:r>
      <w:r w:rsidR="00F025C2">
        <w:rPr>
          <w:rStyle w:val="DZVodilnistavekChar"/>
          <w:b w:val="0"/>
          <w:bCs/>
          <w:noProof/>
        </w:rPr>
        <w:t xml:space="preserve">večinoma </w:t>
      </w:r>
      <w:r w:rsidR="00D81626">
        <w:rPr>
          <w:rStyle w:val="DZVodilnistavekChar"/>
          <w:b w:val="0"/>
          <w:bCs/>
          <w:noProof/>
        </w:rPr>
        <w:t>med 5 in 10 mio EUR</w:t>
      </w:r>
      <w:r w:rsidR="008B31B2">
        <w:rPr>
          <w:rStyle w:val="DZVodilnistavekChar"/>
          <w:b w:val="0"/>
          <w:bCs/>
          <w:noProof/>
        </w:rPr>
        <w:t>. V letu 2020 je bila poleg cestnega tovornega prometa</w:t>
      </w:r>
      <w:r w:rsidR="00427A4E">
        <w:rPr>
          <w:rStyle w:val="DZVodilnistavekChar"/>
          <w:b w:val="0"/>
          <w:bCs/>
          <w:noProof/>
        </w:rPr>
        <w:t>, poštne dejavnosti</w:t>
      </w:r>
      <w:r w:rsidR="008B31B2">
        <w:rPr>
          <w:rStyle w:val="DZVodilnistavekChar"/>
          <w:b w:val="0"/>
          <w:bCs/>
          <w:noProof/>
        </w:rPr>
        <w:t xml:space="preserve"> in špedicije to </w:t>
      </w:r>
      <w:r w:rsidR="00F025C2">
        <w:rPr>
          <w:rStyle w:val="DZVodilnistavekChar"/>
          <w:b w:val="0"/>
          <w:bCs/>
          <w:noProof/>
        </w:rPr>
        <w:t xml:space="preserve">edina </w:t>
      </w:r>
      <w:r w:rsidR="008B31B2">
        <w:rPr>
          <w:rStyle w:val="DZVodilnistavekChar"/>
          <w:b w:val="0"/>
          <w:bCs/>
          <w:noProof/>
        </w:rPr>
        <w:t xml:space="preserve">prometna dejavnost, kjer se poslovni rezultat v primerjavi z letom pred epidemijo ni poslabšal. Neto čisti dobiček se je namreč povečal na skoraj 9 mio EUR, v letu 2021 pa je </w:t>
      </w:r>
      <w:r w:rsidR="00B95DEF">
        <w:rPr>
          <w:rStyle w:val="DZVodilnistavekChar"/>
          <w:b w:val="0"/>
          <w:bCs/>
          <w:noProof/>
        </w:rPr>
        <w:t>zdrsnil</w:t>
      </w:r>
      <w:r w:rsidR="008B31B2">
        <w:rPr>
          <w:rStyle w:val="DZVodilnistavekChar"/>
          <w:b w:val="0"/>
          <w:bCs/>
          <w:noProof/>
        </w:rPr>
        <w:t xml:space="preserve"> pod 5 mio EUR</w:t>
      </w:r>
      <w:r w:rsidR="004064B9">
        <w:rPr>
          <w:rStyle w:val="DZVodilnistavekChar"/>
          <w:b w:val="0"/>
          <w:bCs/>
          <w:noProof/>
        </w:rPr>
        <w:t xml:space="preserve">, </w:t>
      </w:r>
      <w:r w:rsidR="00287871">
        <w:rPr>
          <w:rStyle w:val="DZVodilnistavekChar"/>
          <w:b w:val="0"/>
          <w:bCs/>
          <w:noProof/>
        </w:rPr>
        <w:t xml:space="preserve">zlasti </w:t>
      </w:r>
      <w:r w:rsidR="004064B9">
        <w:rPr>
          <w:rStyle w:val="DZVodilnistavekChar"/>
          <w:b w:val="0"/>
          <w:bCs/>
          <w:noProof/>
        </w:rPr>
        <w:t xml:space="preserve">zaradi </w:t>
      </w:r>
      <w:r w:rsidR="004F4A25">
        <w:rPr>
          <w:rStyle w:val="DZVodilnistavekChar"/>
          <w:b w:val="0"/>
          <w:bCs/>
          <w:noProof/>
        </w:rPr>
        <w:t xml:space="preserve">visoke </w:t>
      </w:r>
      <w:r w:rsidR="004064B9">
        <w:rPr>
          <w:rStyle w:val="DZVodilnistavekChar"/>
          <w:b w:val="0"/>
          <w:bCs/>
          <w:noProof/>
        </w:rPr>
        <w:t>rasti nabavne vrednosti prodanega blaga in materiala (</w:t>
      </w:r>
      <w:r w:rsidR="00287871">
        <w:rPr>
          <w:rStyle w:val="DZVodilnistavekChar"/>
          <w:b w:val="0"/>
          <w:bCs/>
          <w:noProof/>
        </w:rPr>
        <w:t>361 %</w:t>
      </w:r>
      <w:r w:rsidR="004064B9">
        <w:rPr>
          <w:rStyle w:val="DZVodilnistavekChar"/>
          <w:b w:val="0"/>
          <w:bCs/>
          <w:noProof/>
        </w:rPr>
        <w:t xml:space="preserve">) </w:t>
      </w:r>
      <w:r w:rsidR="00FF27C3">
        <w:rPr>
          <w:rStyle w:val="DZVodilnistavekChar"/>
          <w:b w:val="0"/>
          <w:bCs/>
          <w:noProof/>
        </w:rPr>
        <w:t xml:space="preserve">pri </w:t>
      </w:r>
      <w:r w:rsidR="004064B9">
        <w:rPr>
          <w:rStyle w:val="DZVodilnistavekChar"/>
          <w:b w:val="0"/>
          <w:bCs/>
          <w:noProof/>
        </w:rPr>
        <w:t>poslovnih odhodk</w:t>
      </w:r>
      <w:r w:rsidR="00FF27C3">
        <w:rPr>
          <w:rStyle w:val="DZVodilnistavekChar"/>
          <w:b w:val="0"/>
          <w:bCs/>
          <w:noProof/>
        </w:rPr>
        <w:t>ih</w:t>
      </w:r>
      <w:r w:rsidR="004064B9">
        <w:rPr>
          <w:rStyle w:val="DZVodilnistavekChar"/>
          <w:b w:val="0"/>
          <w:bCs/>
          <w:noProof/>
        </w:rPr>
        <w:t>, ki so se povečali bolj od poslovnih prihodkov.</w:t>
      </w:r>
      <w:r w:rsidR="000A0811">
        <w:rPr>
          <w:rStyle w:val="DZVodilnistavekChar"/>
          <w:b w:val="0"/>
          <w:bCs/>
          <w:noProof/>
        </w:rPr>
        <w:t xml:space="preserve"> V letu 2022 se je neto čisti dobiček </w:t>
      </w:r>
      <w:r w:rsidR="00B95DEF">
        <w:rPr>
          <w:rStyle w:val="DZVodilnistavekChar"/>
          <w:b w:val="0"/>
          <w:bCs/>
          <w:noProof/>
        </w:rPr>
        <w:t xml:space="preserve">nekoliko </w:t>
      </w:r>
      <w:r w:rsidR="000A0811">
        <w:rPr>
          <w:rStyle w:val="DZVodilnistavekChar"/>
          <w:b w:val="0"/>
          <w:bCs/>
          <w:noProof/>
        </w:rPr>
        <w:t xml:space="preserve">povečal, na skoraj </w:t>
      </w:r>
      <w:r w:rsidR="000A0811" w:rsidRPr="00244CC1">
        <w:rPr>
          <w:rStyle w:val="DZVodilnistavekChar"/>
          <w:b w:val="0"/>
          <w:bCs/>
          <w:noProof/>
        </w:rPr>
        <w:t>6 mio EUR</w:t>
      </w:r>
      <w:r w:rsidR="006C7006">
        <w:rPr>
          <w:rStyle w:val="DZVodilnistavekChar"/>
          <w:b w:val="0"/>
          <w:bCs/>
          <w:noProof/>
        </w:rPr>
        <w:t xml:space="preserve">, </w:t>
      </w:r>
      <w:r w:rsidR="007D729D">
        <w:rPr>
          <w:rStyle w:val="DZVodilnistavekChar"/>
          <w:b w:val="0"/>
          <w:bCs/>
          <w:noProof/>
        </w:rPr>
        <w:t xml:space="preserve">ko so se poslovni prihodki povečali bolj od odhodkov, v letu 2023 pa še bolj, na 9 mio EUR, ko so se poslovni prihodki zmanjšali manj </w:t>
      </w:r>
      <w:r w:rsidR="001A484F">
        <w:rPr>
          <w:rStyle w:val="DZVodilnistavekChar"/>
          <w:b w:val="0"/>
          <w:bCs/>
          <w:noProof/>
        </w:rPr>
        <w:t xml:space="preserve">od </w:t>
      </w:r>
      <w:r w:rsidR="007D729D">
        <w:rPr>
          <w:rStyle w:val="DZVodilnistavekChar"/>
          <w:b w:val="0"/>
          <w:bCs/>
          <w:noProof/>
        </w:rPr>
        <w:t>odhodk</w:t>
      </w:r>
      <w:r w:rsidR="001A484F">
        <w:rPr>
          <w:rStyle w:val="DZVodilnistavekChar"/>
          <w:b w:val="0"/>
          <w:bCs/>
          <w:noProof/>
        </w:rPr>
        <w:t>ov</w:t>
      </w:r>
      <w:r w:rsidR="006C7006">
        <w:rPr>
          <w:rStyle w:val="DZVodilnistavekChar"/>
          <w:b w:val="0"/>
          <w:bCs/>
          <w:noProof/>
        </w:rPr>
        <w:t>.</w:t>
      </w:r>
    </w:p>
    <w:p w14:paraId="14536BE6" w14:textId="29A3D28A" w:rsidR="00DB0C00" w:rsidRPr="00EE1C5B" w:rsidRDefault="00E06C1C" w:rsidP="00DB0C00">
      <w:pPr>
        <w:pStyle w:val="BesediloUMAR"/>
        <w:rPr>
          <w:noProof/>
        </w:rPr>
      </w:pPr>
      <w:r w:rsidRPr="008137B9">
        <w:rPr>
          <w:rStyle w:val="DZVodilnistavekChar"/>
          <w:noProof/>
        </w:rPr>
        <w:lastRenderedPageBreak/>
        <w:t>V vodnem prometu (oddelek H 50)</w:t>
      </w:r>
      <w:r w:rsidR="00B95DEF">
        <w:rPr>
          <w:rStyle w:val="DZVodilnistavekChar"/>
          <w:noProof/>
        </w:rPr>
        <w:t>,</w:t>
      </w:r>
      <w:r w:rsidRPr="008137B9">
        <w:rPr>
          <w:rStyle w:val="DZVodilnistavekChar"/>
          <w:noProof/>
        </w:rPr>
        <w:t xml:space="preserve"> z osrednjo dejavnostjo pomorski blagovni promet</w:t>
      </w:r>
      <w:r w:rsidR="00B95DEF">
        <w:rPr>
          <w:rStyle w:val="DZVodilnistavekChar"/>
          <w:noProof/>
        </w:rPr>
        <w:t>,</w:t>
      </w:r>
      <w:r w:rsidRPr="008137B9">
        <w:rPr>
          <w:rStyle w:val="DZVodilnistavekChar"/>
          <w:noProof/>
        </w:rPr>
        <w:t xml:space="preserve"> so v večini let dosegali skromen pozitiv</w:t>
      </w:r>
      <w:r w:rsidR="00B95DEF">
        <w:rPr>
          <w:rStyle w:val="DZVodilnistavekChar"/>
          <w:noProof/>
        </w:rPr>
        <w:t>e</w:t>
      </w:r>
      <w:r w:rsidRPr="008137B9">
        <w:rPr>
          <w:rStyle w:val="DZVodilnistavekChar"/>
          <w:noProof/>
        </w:rPr>
        <w:t>n poslovni rezultat.</w:t>
      </w:r>
      <w:r w:rsidRPr="008137B9">
        <w:rPr>
          <w:rStyle w:val="DZBesediloChar"/>
          <w:noProof/>
        </w:rPr>
        <w:t xml:space="preserve"> Vodni promet v dejavnosti H ustvari le 0,</w:t>
      </w:r>
      <w:r w:rsidR="00EE1C5B">
        <w:rPr>
          <w:rStyle w:val="DZBesediloChar"/>
          <w:noProof/>
        </w:rPr>
        <w:t>5</w:t>
      </w:r>
      <w:r w:rsidRPr="008137B9">
        <w:rPr>
          <w:rStyle w:val="DZBesediloChar"/>
          <w:noProof/>
        </w:rPr>
        <w:t xml:space="preserve"> % dodane vrednosti. Pretežni del ustvari nekaj večjih ladjarjev </w:t>
      </w:r>
      <w:r w:rsidR="006F49E4">
        <w:rPr>
          <w:rStyle w:val="DZBesediloChar"/>
          <w:noProof/>
        </w:rPr>
        <w:t>in</w:t>
      </w:r>
      <w:r w:rsidRPr="008137B9">
        <w:rPr>
          <w:rStyle w:val="DZBesediloChar"/>
          <w:noProof/>
        </w:rPr>
        <w:t xml:space="preserve"> družbe, ki opravljajo storitve vleke </w:t>
      </w:r>
      <w:r w:rsidR="006F49E4">
        <w:rPr>
          <w:rStyle w:val="DZBesediloChar"/>
          <w:noProof/>
        </w:rPr>
        <w:t>ter</w:t>
      </w:r>
      <w:r w:rsidRPr="008137B9">
        <w:rPr>
          <w:rStyle w:val="DZBesediloChar"/>
          <w:noProof/>
        </w:rPr>
        <w:t xml:space="preserve"> asistence ladij v koprskem pristanišču. Po letu 2008 so v dejavnosti vodnega prometa večinoma poslovali z nekaj milijon</w:t>
      </w:r>
      <w:r>
        <w:rPr>
          <w:rStyle w:val="DZBesediloChar"/>
          <w:noProof/>
        </w:rPr>
        <w:t>i</w:t>
      </w:r>
      <w:r w:rsidRPr="008137B9">
        <w:rPr>
          <w:rStyle w:val="DZBesediloChar"/>
          <w:noProof/>
        </w:rPr>
        <w:t xml:space="preserve"> evrov neto čistega dobička, z izjemo leta 2018, ko so zaradi povečanih finančnih odhodkov iz oslabitve in odpisov finančnih naložb poslovali z več kot 20 mio EUR izgube. Oslabitve so pomenil</w:t>
      </w:r>
      <w:r w:rsidR="00124DB6">
        <w:rPr>
          <w:rStyle w:val="DZBesediloChar"/>
          <w:noProof/>
        </w:rPr>
        <w:t>e</w:t>
      </w:r>
      <w:r w:rsidRPr="008137B9">
        <w:rPr>
          <w:rStyle w:val="DZBesediloChar"/>
          <w:noProof/>
        </w:rPr>
        <w:t xml:space="preserve"> izboljša</w:t>
      </w:r>
      <w:r w:rsidR="00B95DEF">
        <w:rPr>
          <w:rStyle w:val="DZBesediloChar"/>
          <w:noProof/>
        </w:rPr>
        <w:t xml:space="preserve">nje </w:t>
      </w:r>
      <w:r w:rsidRPr="008137B9">
        <w:rPr>
          <w:rStyle w:val="DZBesediloChar"/>
          <w:noProof/>
        </w:rPr>
        <w:t>poslov</w:t>
      </w:r>
      <w:r w:rsidR="00B95DEF">
        <w:rPr>
          <w:rStyle w:val="DZBesediloChar"/>
          <w:noProof/>
        </w:rPr>
        <w:t>nih rezultatov</w:t>
      </w:r>
      <w:r w:rsidRPr="008137B9">
        <w:rPr>
          <w:rStyle w:val="DZBesediloChar"/>
          <w:noProof/>
        </w:rPr>
        <w:t>, a se je s tem za četrtino z</w:t>
      </w:r>
      <w:r w:rsidR="007F6151">
        <w:rPr>
          <w:rStyle w:val="DZBesediloChar"/>
          <w:noProof/>
        </w:rPr>
        <w:t>manjšala</w:t>
      </w:r>
      <w:r w:rsidRPr="008137B9">
        <w:rPr>
          <w:rStyle w:val="DZBesediloChar"/>
          <w:noProof/>
        </w:rPr>
        <w:t xml:space="preserve"> tudi vrednost sredstev dejavnosti, </w:t>
      </w:r>
      <w:r w:rsidRPr="007D729F">
        <w:rPr>
          <w:rStyle w:val="DZBesediloChar"/>
          <w:noProof/>
          <w:spacing w:val="-6"/>
        </w:rPr>
        <w:t>s 75 mio EUR na 57 mio EUR. V letu 2020 je neto čisti dobiček znašal malo pod 2 mio EUR</w:t>
      </w:r>
      <w:r w:rsidR="00BE04ED">
        <w:rPr>
          <w:rStyle w:val="DZBesediloChar"/>
          <w:noProof/>
          <w:spacing w:val="-6"/>
        </w:rPr>
        <w:t xml:space="preserve"> </w:t>
      </w:r>
      <w:r w:rsidRPr="007D729F">
        <w:rPr>
          <w:rStyle w:val="DZBesediloChar"/>
          <w:noProof/>
          <w:spacing w:val="-6"/>
        </w:rPr>
        <w:t>ali malo manj kot leto prej</w:t>
      </w:r>
      <w:r w:rsidRPr="008A048E">
        <w:rPr>
          <w:rStyle w:val="DZBesediloChar"/>
          <w:noProof/>
          <w:spacing w:val="-6"/>
        </w:rPr>
        <w:t>.</w:t>
      </w:r>
      <w:r w:rsidR="00DB0C00" w:rsidRPr="008A048E">
        <w:t xml:space="preserve"> </w:t>
      </w:r>
      <w:r w:rsidR="008A048E" w:rsidRPr="008A048E">
        <w:t>V</w:t>
      </w:r>
      <w:r w:rsidR="008A048E">
        <w:t xml:space="preserve"> letu 2021 so se sicer poslovni prihodki povečali za četrtino, a je bilo zvišanje poslovnih odhodkov dosti večje, saj se je za 78 % povečal strošek transportnih storitev, ki je presegel polovico vseh poslovnih odhodkov. Tako so v vodnem prometu poslovno leto 2021 končali z malo več kot 1 mio EUR neto čiste izgube</w:t>
      </w:r>
      <w:r w:rsidR="008A048E" w:rsidRPr="001702B7">
        <w:t xml:space="preserve">. </w:t>
      </w:r>
      <w:r w:rsidR="001702B7" w:rsidRPr="001702B7">
        <w:t>V let</w:t>
      </w:r>
      <w:r w:rsidR="003338B0">
        <w:t>u</w:t>
      </w:r>
      <w:r w:rsidR="001702B7" w:rsidRPr="001702B7">
        <w:t xml:space="preserve"> 2022</w:t>
      </w:r>
      <w:r w:rsidR="001702B7">
        <w:t xml:space="preserve"> je </w:t>
      </w:r>
      <w:r w:rsidR="003338B0">
        <w:t xml:space="preserve">bilo </w:t>
      </w:r>
      <w:r w:rsidR="001702B7">
        <w:t>poslovanje</w:t>
      </w:r>
      <w:r w:rsidR="001249EF">
        <w:t xml:space="preserve"> </w:t>
      </w:r>
      <w:r w:rsidR="003338B0">
        <w:t>spet pozitivno</w:t>
      </w:r>
      <w:r w:rsidR="00352023">
        <w:t>,</w:t>
      </w:r>
      <w:r w:rsidR="001249EF">
        <w:t xml:space="preserve"> </w:t>
      </w:r>
      <w:r w:rsidR="003338B0">
        <w:t>z neto čistim dobičkom</w:t>
      </w:r>
      <w:r w:rsidR="001249EF">
        <w:t xml:space="preserve"> 1,5 mio EUR</w:t>
      </w:r>
      <w:r w:rsidR="003338B0">
        <w:t>,</w:t>
      </w:r>
      <w:r w:rsidR="001249EF">
        <w:t xml:space="preserve"> </w:t>
      </w:r>
      <w:r w:rsidR="003338B0">
        <w:t>kar je bil</w:t>
      </w:r>
      <w:r w:rsidR="00097BF5">
        <w:t>a</w:t>
      </w:r>
      <w:r w:rsidR="003338B0">
        <w:t xml:space="preserve"> posledica višje rasti prodajnih prihodkov od rasti stroškov storitev</w:t>
      </w:r>
      <w:r w:rsidR="00621092">
        <w:t xml:space="preserve"> </w:t>
      </w:r>
      <w:r w:rsidR="00352023">
        <w:t xml:space="preserve">in </w:t>
      </w:r>
      <w:r w:rsidR="001249EF">
        <w:t>neto čistega dobička</w:t>
      </w:r>
      <w:r w:rsidR="003338B0">
        <w:t>.</w:t>
      </w:r>
      <w:r w:rsidR="001249EF">
        <w:t xml:space="preserve"> </w:t>
      </w:r>
      <w:r w:rsidR="003338B0">
        <w:t>V letu 2023 pa</w:t>
      </w:r>
      <w:r w:rsidR="001249EF">
        <w:t xml:space="preserve"> </w:t>
      </w:r>
      <w:r w:rsidR="003338B0">
        <w:t>je bilo nadaljnje povečanje dobička na 2,2 mio EUR povezano z znižanjem stroškov storitev ob enakih poslovnih prihodkih</w:t>
      </w:r>
      <w:r w:rsidR="001249EF">
        <w:t>.</w:t>
      </w:r>
    </w:p>
    <w:p w14:paraId="5F5F0BC1" w14:textId="77777777" w:rsidR="00DB0C00" w:rsidRDefault="00DB0C00" w:rsidP="00DB0C00">
      <w:pPr>
        <w:pStyle w:val="BesediloUMAR"/>
        <w:rPr>
          <w:b/>
        </w:rPr>
      </w:pPr>
    </w:p>
    <w:p w14:paraId="5C52C39A" w14:textId="5F67146F" w:rsidR="00DB0C00" w:rsidRPr="00CE2BF4" w:rsidRDefault="00E06C1C" w:rsidP="00DB0C00">
      <w:pPr>
        <w:pStyle w:val="BesediloUMAR"/>
      </w:pPr>
      <w:r w:rsidRPr="00802A57">
        <w:rPr>
          <w:rStyle w:val="DZVodilnistavekChar"/>
          <w:noProof/>
        </w:rPr>
        <w:t>V zračnem prometu</w:t>
      </w:r>
      <w:r w:rsidRPr="008137B9">
        <w:rPr>
          <w:rStyle w:val="DZVodilnistavekChar"/>
          <w:noProof/>
        </w:rPr>
        <w:t xml:space="preserve"> (oddelek H 51) je bila uspešnost poslovanja dolgo povezana s poskusi sanacije poslovanja osrednjega domačega prevoznika, ki je šel leta 2019</w:t>
      </w:r>
      <w:r w:rsidRPr="008137B9">
        <w:rPr>
          <w:rStyle w:val="DZBesediloChar"/>
          <w:noProof/>
        </w:rPr>
        <w:t xml:space="preserve"> </w:t>
      </w:r>
      <w:r w:rsidRPr="00451CA3">
        <w:rPr>
          <w:rStyle w:val="DZBesediloChar"/>
          <w:b/>
          <w:bCs/>
          <w:noProof/>
        </w:rPr>
        <w:t>v</w:t>
      </w:r>
      <w:r w:rsidRPr="008137B9">
        <w:rPr>
          <w:rStyle w:val="DZVodilnistavekChar"/>
          <w:noProof/>
        </w:rPr>
        <w:t xml:space="preserve"> stečaj. </w:t>
      </w:r>
      <w:r w:rsidR="0064378A" w:rsidRPr="0064378A">
        <w:rPr>
          <w:rStyle w:val="DZVodilnistavekChar"/>
          <w:b w:val="0"/>
          <w:bCs/>
          <w:noProof/>
        </w:rPr>
        <w:t xml:space="preserve">Dejavnost </w:t>
      </w:r>
      <w:r w:rsidR="0064378A">
        <w:rPr>
          <w:rStyle w:val="DZVodilnistavekChar"/>
          <w:b w:val="0"/>
          <w:bCs/>
          <w:noProof/>
        </w:rPr>
        <w:t>z</w:t>
      </w:r>
      <w:r w:rsidRPr="008137B9">
        <w:rPr>
          <w:rStyle w:val="DZBesediloChar"/>
          <w:noProof/>
        </w:rPr>
        <w:t>račn</w:t>
      </w:r>
      <w:r w:rsidR="0064378A">
        <w:rPr>
          <w:rStyle w:val="DZBesediloChar"/>
          <w:noProof/>
        </w:rPr>
        <w:t>ega</w:t>
      </w:r>
      <w:r w:rsidRPr="008137B9">
        <w:rPr>
          <w:rStyle w:val="DZBesediloChar"/>
          <w:noProof/>
        </w:rPr>
        <w:t xml:space="preserve"> promet</w:t>
      </w:r>
      <w:r w:rsidR="0064378A">
        <w:rPr>
          <w:rStyle w:val="DZBesediloChar"/>
          <w:noProof/>
        </w:rPr>
        <w:t>a</w:t>
      </w:r>
      <w:r w:rsidRPr="008137B9">
        <w:rPr>
          <w:rStyle w:val="DZBesediloChar"/>
          <w:noProof/>
        </w:rPr>
        <w:t xml:space="preserve"> po stečaju </w:t>
      </w:r>
      <w:r w:rsidR="0064378A">
        <w:rPr>
          <w:rStyle w:val="DZBesediloChar"/>
          <w:noProof/>
        </w:rPr>
        <w:t xml:space="preserve">družbe </w:t>
      </w:r>
      <w:r w:rsidRPr="008137B9">
        <w:rPr>
          <w:rStyle w:val="DZBesediloChar"/>
          <w:noProof/>
        </w:rPr>
        <w:t>Adri</w:t>
      </w:r>
      <w:r w:rsidR="0064378A">
        <w:rPr>
          <w:rStyle w:val="DZBesediloChar"/>
          <w:noProof/>
        </w:rPr>
        <w:t>a</w:t>
      </w:r>
      <w:r w:rsidR="008C7E30">
        <w:rPr>
          <w:rStyle w:val="DZBesediloChar"/>
          <w:noProof/>
        </w:rPr>
        <w:t xml:space="preserve"> Airways</w:t>
      </w:r>
      <w:r w:rsidRPr="008137B9">
        <w:rPr>
          <w:rStyle w:val="DZBesediloChar"/>
          <w:noProof/>
        </w:rPr>
        <w:t xml:space="preserve"> ustvari le </w:t>
      </w:r>
      <w:r w:rsidR="00EE1C5B">
        <w:rPr>
          <w:rStyle w:val="DZBesediloChar"/>
          <w:noProof/>
        </w:rPr>
        <w:t>1</w:t>
      </w:r>
      <w:r w:rsidRPr="008137B9">
        <w:rPr>
          <w:rStyle w:val="DZBesediloChar"/>
          <w:noProof/>
        </w:rPr>
        <w:t>,</w:t>
      </w:r>
      <w:r w:rsidR="00EE1C5B">
        <w:rPr>
          <w:rStyle w:val="DZBesediloChar"/>
          <w:noProof/>
        </w:rPr>
        <w:t>2</w:t>
      </w:r>
      <w:r w:rsidRPr="008137B9">
        <w:rPr>
          <w:rStyle w:val="DZBesediloChar"/>
          <w:noProof/>
        </w:rPr>
        <w:t> % dodane vrednosti</w:t>
      </w:r>
      <w:r w:rsidR="0064378A" w:rsidRPr="0064378A">
        <w:rPr>
          <w:rStyle w:val="DZBesediloChar"/>
          <w:noProof/>
        </w:rPr>
        <w:t xml:space="preserve"> </w:t>
      </w:r>
      <w:r w:rsidR="0064378A" w:rsidRPr="008137B9">
        <w:rPr>
          <w:rStyle w:val="DZBesediloChar"/>
          <w:noProof/>
        </w:rPr>
        <w:t>v dejavnosti</w:t>
      </w:r>
      <w:r w:rsidR="0064378A">
        <w:rPr>
          <w:rStyle w:val="DZBesediloChar"/>
          <w:noProof/>
        </w:rPr>
        <w:t xml:space="preserve"> prometa in skladiščenja</w:t>
      </w:r>
      <w:r w:rsidR="0064378A" w:rsidRPr="008137B9">
        <w:rPr>
          <w:rStyle w:val="DZBesediloChar"/>
          <w:noProof/>
        </w:rPr>
        <w:t xml:space="preserve"> H</w:t>
      </w:r>
      <w:r w:rsidRPr="008137B9">
        <w:rPr>
          <w:rStyle w:val="DZBesediloChar"/>
          <w:noProof/>
        </w:rPr>
        <w:t xml:space="preserve">. Poslovni rezultat se je </w:t>
      </w:r>
      <w:r w:rsidR="00244B48">
        <w:rPr>
          <w:rStyle w:val="DZBesediloChar"/>
          <w:noProof/>
        </w:rPr>
        <w:t>od</w:t>
      </w:r>
      <w:r w:rsidR="00244B48" w:rsidRPr="008137B9">
        <w:rPr>
          <w:rStyle w:val="DZBesediloChar"/>
          <w:noProof/>
        </w:rPr>
        <w:t xml:space="preserve"> </w:t>
      </w:r>
      <w:r w:rsidRPr="008137B9">
        <w:rPr>
          <w:rStyle w:val="DZBesediloChar"/>
          <w:noProof/>
        </w:rPr>
        <w:t>let</w:t>
      </w:r>
      <w:r w:rsidR="00244B48">
        <w:rPr>
          <w:rStyle w:val="DZBesediloChar"/>
          <w:noProof/>
        </w:rPr>
        <w:t>a</w:t>
      </w:r>
      <w:r w:rsidRPr="008137B9">
        <w:rPr>
          <w:rStyle w:val="DZBesediloChar"/>
          <w:noProof/>
        </w:rPr>
        <w:t xml:space="preserve"> 2008 do 2010 poslabšal na prek 20 mio EUR neto čiste izgube, kasneje je nekaj let nihal med manjšim dobičkom in izgubo, ki je bila leta 2018 spet velika</w:t>
      </w:r>
      <w:r w:rsidR="00D11988">
        <w:rPr>
          <w:rStyle w:val="DZBesediloChar"/>
          <w:noProof/>
        </w:rPr>
        <w:t>, prek</w:t>
      </w:r>
      <w:r w:rsidRPr="008137B9">
        <w:rPr>
          <w:rStyle w:val="DZBesediloChar"/>
          <w:noProof/>
        </w:rPr>
        <w:t xml:space="preserve"> 28 mio EUR. Večina neto čiste izgube je bila povezana s slabim poslovanjem največjega letalskega prevoznika, ki je šel konec leta 2019 v stečaj. Število zaposlenih v zračnem prometu se je </w:t>
      </w:r>
      <w:r w:rsidR="00244B48">
        <w:rPr>
          <w:rStyle w:val="DZBesediloChar"/>
          <w:noProof/>
        </w:rPr>
        <w:t xml:space="preserve">s tem </w:t>
      </w:r>
      <w:r w:rsidRPr="008137B9">
        <w:rPr>
          <w:rStyle w:val="DZBesediloChar"/>
          <w:noProof/>
        </w:rPr>
        <w:t>z</w:t>
      </w:r>
      <w:r w:rsidR="00DF620A">
        <w:rPr>
          <w:rStyle w:val="DZBesediloChar"/>
          <w:noProof/>
        </w:rPr>
        <w:t>manjšalo</w:t>
      </w:r>
      <w:r w:rsidRPr="008137B9">
        <w:rPr>
          <w:rStyle w:val="DZBesediloChar"/>
          <w:noProof/>
        </w:rPr>
        <w:t xml:space="preserve"> za 400, na 185</w:t>
      </w:r>
      <w:r w:rsidRPr="00F61398">
        <w:rPr>
          <w:rStyle w:val="DZBesediloChar"/>
          <w:noProof/>
        </w:rPr>
        <w:t xml:space="preserve">. </w:t>
      </w:r>
      <w:r w:rsidR="00F61398">
        <w:rPr>
          <w:rStyle w:val="DZBesediloChar"/>
          <w:noProof/>
        </w:rPr>
        <w:t>Z</w:t>
      </w:r>
      <w:r w:rsidRPr="008137B9">
        <w:rPr>
          <w:rStyle w:val="DZBesediloChar"/>
          <w:noProof/>
        </w:rPr>
        <w:t>aposlenost</w:t>
      </w:r>
      <w:r w:rsidR="00F61398">
        <w:rPr>
          <w:rStyle w:val="DZBesediloChar"/>
          <w:noProof/>
        </w:rPr>
        <w:t>,</w:t>
      </w:r>
      <w:r w:rsidRPr="008137B9">
        <w:rPr>
          <w:rStyle w:val="DZBesediloChar"/>
          <w:noProof/>
        </w:rPr>
        <w:t xml:space="preserve"> dodana vrednost in vrednost sredstev so se v primerjavi z letom 2008 z</w:t>
      </w:r>
      <w:r w:rsidR="00955314">
        <w:rPr>
          <w:rStyle w:val="DZBesediloChar"/>
          <w:noProof/>
        </w:rPr>
        <w:t>manjšali</w:t>
      </w:r>
      <w:r w:rsidRPr="008137B9">
        <w:rPr>
          <w:rStyle w:val="DZBesediloChar"/>
          <w:noProof/>
        </w:rPr>
        <w:t xml:space="preserve"> za okoli tri četrtine. Dejavnost tako zdaj predstavlja nekaj ekskluzivnih manjših domačih ponudnikov, nekaj izpostav večjih tujih letalskih družb, letalsko-padalskih centrov </w:t>
      </w:r>
      <w:r w:rsidR="00A3668F">
        <w:rPr>
          <w:rStyle w:val="DZBesediloChar"/>
          <w:noProof/>
        </w:rPr>
        <w:t>in</w:t>
      </w:r>
      <w:r w:rsidRPr="008137B9">
        <w:rPr>
          <w:rStyle w:val="DZBesediloChar"/>
          <w:noProof/>
        </w:rPr>
        <w:t xml:space="preserve"> družb, ki ponujajo panoramske lete. Ti preostali letalski ponudniki v zračnem prometu pa so v letu 2019 ustvarili r</w:t>
      </w:r>
      <w:r w:rsidR="0082262F">
        <w:rPr>
          <w:rStyle w:val="DZBesediloChar"/>
          <w:noProof/>
        </w:rPr>
        <w:t>azmeroma</w:t>
      </w:r>
      <w:r w:rsidRPr="008137B9">
        <w:rPr>
          <w:rStyle w:val="DZBesediloChar"/>
          <w:noProof/>
        </w:rPr>
        <w:t xml:space="preserve"> dober poslovni rezultat, ko je neto čisti dobiček dosegel skoraj 10 mio EUR</w:t>
      </w:r>
      <w:r w:rsidR="006A4C83">
        <w:rPr>
          <w:rStyle w:val="DZBesediloChar"/>
          <w:noProof/>
        </w:rPr>
        <w:t>.</w:t>
      </w:r>
      <w:r w:rsidRPr="008137B9">
        <w:rPr>
          <w:rStyle w:val="DZBesediloChar"/>
          <w:noProof/>
        </w:rPr>
        <w:t xml:space="preserve"> </w:t>
      </w:r>
      <w:r w:rsidR="00E257DF">
        <w:rPr>
          <w:rStyle w:val="DZBesediloChar"/>
          <w:noProof/>
        </w:rPr>
        <w:t>V</w:t>
      </w:r>
      <w:r w:rsidRPr="008137B9">
        <w:rPr>
          <w:rStyle w:val="DZBesediloChar"/>
          <w:noProof/>
        </w:rPr>
        <w:t xml:space="preserve"> letu 2020 se je </w:t>
      </w:r>
      <w:r w:rsidR="00E257DF">
        <w:rPr>
          <w:rStyle w:val="DZBesediloChar"/>
          <w:noProof/>
        </w:rPr>
        <w:t xml:space="preserve">tudi </w:t>
      </w:r>
      <w:r w:rsidRPr="008137B9">
        <w:rPr>
          <w:rStyle w:val="DZBesediloChar"/>
          <w:noProof/>
        </w:rPr>
        <w:t>zaradi epidemije neto čisti dobiček zmanjšal na malo pod 3 mio EUR</w:t>
      </w:r>
      <w:r w:rsidR="00E257DF">
        <w:rPr>
          <w:rStyle w:val="DZBesediloChar"/>
          <w:noProof/>
        </w:rPr>
        <w:t xml:space="preserve">, v </w:t>
      </w:r>
      <w:r w:rsidR="006A4C83">
        <w:rPr>
          <w:rStyle w:val="DZBesediloChar"/>
          <w:noProof/>
        </w:rPr>
        <w:t xml:space="preserve">naslednjih letih se je povečeval in v </w:t>
      </w:r>
      <w:r w:rsidR="00E257DF">
        <w:rPr>
          <w:rStyle w:val="DZBesediloChar"/>
          <w:noProof/>
        </w:rPr>
        <w:t>letu 202</w:t>
      </w:r>
      <w:r w:rsidR="006A4C83">
        <w:rPr>
          <w:rStyle w:val="DZBesediloChar"/>
          <w:noProof/>
        </w:rPr>
        <w:t>3 presegel 15 mio EUR.</w:t>
      </w:r>
      <w:r w:rsidR="00E257DF">
        <w:rPr>
          <w:rStyle w:val="DZBesediloChar"/>
          <w:noProof/>
        </w:rPr>
        <w:t xml:space="preserve"> </w:t>
      </w:r>
      <w:r w:rsidR="006A4C83">
        <w:rPr>
          <w:rStyle w:val="DZBesediloChar"/>
          <w:noProof/>
        </w:rPr>
        <w:t xml:space="preserve">V nekaterih letih je bil velik delež dobička ustvarjen tudi </w:t>
      </w:r>
      <w:r w:rsidR="006420BB" w:rsidRPr="008137B9">
        <w:rPr>
          <w:rStyle w:val="DZBesediloChar"/>
          <w:noProof/>
        </w:rPr>
        <w:t>v zračnem tovornem prometu</w:t>
      </w:r>
      <w:r w:rsidR="00927DED">
        <w:rPr>
          <w:rStyle w:val="DZBesediloChar"/>
          <w:noProof/>
        </w:rPr>
        <w:t xml:space="preserve">, kar pa se je do leta 2023 spremenilo, ko je kar 87 % dobička zračnega prometa izhajalo iz potniškega prometa. </w:t>
      </w:r>
    </w:p>
    <w:p w14:paraId="29376228" w14:textId="3BF3582F" w:rsidR="00CE2BF4" w:rsidRDefault="00CE2BF4" w:rsidP="00CE2BF4">
      <w:pPr>
        <w:pStyle w:val="Napis"/>
        <w:rPr>
          <w:rStyle w:val="DZBesediloChar"/>
          <w:szCs w:val="20"/>
        </w:rPr>
      </w:pPr>
      <w:bookmarkStart w:id="39" w:name="_Hlk113972589"/>
      <w:r w:rsidRPr="00355D96">
        <w:t xml:space="preserve">Slika </w:t>
      </w:r>
      <w:r w:rsidRPr="00355D96">
        <w:fldChar w:fldCharType="begin"/>
      </w:r>
      <w:r w:rsidRPr="00355D96">
        <w:instrText xml:space="preserve"> SEQ Slika \* ARABIC </w:instrText>
      </w:r>
      <w:r w:rsidRPr="00355D96">
        <w:fldChar w:fldCharType="separate"/>
      </w:r>
      <w:r w:rsidR="00B002B7">
        <w:t>7</w:t>
      </w:r>
      <w:r w:rsidRPr="00355D96">
        <w:fldChar w:fldCharType="end"/>
      </w:r>
      <w:r w:rsidRPr="00355D96">
        <w:rPr>
          <w:rStyle w:val="DZBesediloChar"/>
          <w:szCs w:val="20"/>
        </w:rPr>
        <w:t xml:space="preserve">: </w:t>
      </w:r>
      <w:r w:rsidR="004D00F1">
        <w:t xml:space="preserve">Po </w:t>
      </w:r>
      <w:r w:rsidR="004D00F1" w:rsidRPr="00FE129A">
        <w:t>stečaju Adrie</w:t>
      </w:r>
      <w:r w:rsidR="00FE129A">
        <w:t xml:space="preserve"> Airways</w:t>
      </w:r>
      <w:r w:rsidR="004D00F1">
        <w:t xml:space="preserve"> se je obseg dejavnosti zračnega prometa močno skrčil</w:t>
      </w:r>
      <w:r w:rsidR="00F84F8B">
        <w:t>, preostale družbe pa zadnja leta dosegajo solidne poslovne rezultate</w:t>
      </w:r>
    </w:p>
    <w:p w14:paraId="4CBD50F4" w14:textId="70189AB4" w:rsidR="00CE2BF4" w:rsidRPr="00CE2BF4" w:rsidRDefault="005B15B0" w:rsidP="00CE2BF4">
      <w:pPr>
        <w:pStyle w:val="BesediloUMAR"/>
      </w:pPr>
      <w:r w:rsidRPr="005B15B0">
        <w:rPr>
          <w:noProof/>
        </w:rPr>
        <w:drawing>
          <wp:inline distT="0" distB="0" distL="0" distR="0" wp14:anchorId="40AFD176" wp14:editId="7279DBC5">
            <wp:extent cx="5759450" cy="2103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71DE" w14:textId="0F0525A8" w:rsidR="002F0A04" w:rsidRDefault="002F0A04" w:rsidP="002F0A04">
      <w:pPr>
        <w:pStyle w:val="VirUMAR"/>
      </w:pPr>
      <w:r w:rsidRPr="008F6BED">
        <w:t xml:space="preserve">Vir podatkov: </w:t>
      </w:r>
      <w:r>
        <w:fldChar w:fldCharType="begin"/>
      </w:r>
      <w:r w:rsidR="007309C9">
        <w:instrText xml:space="preserve"> ADDIN ZOTERO_ITEM CSL_CITATION {"citationID":"dniFEhuZ","properties":{"formattedCitation":"(AJPES,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Pr="00B3524B">
        <w:t xml:space="preserve">AJPES </w:t>
      </w:r>
      <w:r>
        <w:t>(</w:t>
      </w:r>
      <w:r w:rsidRPr="00B3524B">
        <w:t>202</w:t>
      </w:r>
      <w:r w:rsidR="005B15B0">
        <w:t>4</w:t>
      </w:r>
      <w:r w:rsidRPr="00B3524B">
        <w:t>)</w:t>
      </w:r>
      <w:r>
        <w:fldChar w:fldCharType="end"/>
      </w:r>
      <w:r w:rsidRPr="008F6BED">
        <w:t>, lastni izračuni.</w:t>
      </w:r>
      <w:bookmarkEnd w:id="39"/>
    </w:p>
    <w:p w14:paraId="34051143" w14:textId="77777777" w:rsidR="00352023" w:rsidRDefault="00352023" w:rsidP="001C45CE">
      <w:pPr>
        <w:pStyle w:val="BesediloUMAR"/>
        <w:rPr>
          <w:rStyle w:val="DZVodilnistavekChar"/>
          <w:noProof/>
        </w:rPr>
      </w:pPr>
    </w:p>
    <w:p w14:paraId="276D82A8" w14:textId="794EF52B" w:rsidR="002947A6" w:rsidRDefault="00E06C1C" w:rsidP="001C45CE">
      <w:pPr>
        <w:pStyle w:val="BesediloUMAR"/>
        <w:rPr>
          <w:rStyle w:val="DZBesediloChar"/>
          <w:noProof/>
        </w:rPr>
      </w:pPr>
      <w:r w:rsidRPr="00BB3D03">
        <w:rPr>
          <w:rStyle w:val="DZVodilnistavekChar"/>
          <w:noProof/>
        </w:rPr>
        <w:lastRenderedPageBreak/>
        <w:t xml:space="preserve">Dejavnost </w:t>
      </w:r>
      <w:bookmarkStart w:id="40" w:name="_Hlk138080007"/>
      <w:r w:rsidRPr="00BB3D03">
        <w:rPr>
          <w:rStyle w:val="DZVodilnistavekChar"/>
          <w:noProof/>
        </w:rPr>
        <w:t xml:space="preserve">skladiščenje in spremljajoče prometne dejavnosti (oddelek H 52) </w:t>
      </w:r>
      <w:bookmarkEnd w:id="40"/>
      <w:r w:rsidR="00BB3D03" w:rsidRPr="00BB3D03">
        <w:rPr>
          <w:rStyle w:val="DZVodilnistavekChar"/>
          <w:noProof/>
        </w:rPr>
        <w:t>ustvari največ dobička</w:t>
      </w:r>
      <w:r w:rsidRPr="00BB3D03">
        <w:rPr>
          <w:rStyle w:val="DZVodilnistavekChar"/>
          <w:noProof/>
        </w:rPr>
        <w:t xml:space="preserve"> v okviru </w:t>
      </w:r>
      <w:r w:rsidR="00BB3D03" w:rsidRPr="00BB3D03">
        <w:rPr>
          <w:rStyle w:val="DZVodilnistavekChar"/>
          <w:noProof/>
        </w:rPr>
        <w:t xml:space="preserve">celotne panoge </w:t>
      </w:r>
      <w:r w:rsidRPr="00BB3D03">
        <w:rPr>
          <w:rStyle w:val="DZVodilnistavekChar"/>
          <w:noProof/>
        </w:rPr>
        <w:t>prometa in skladiščenja</w:t>
      </w:r>
      <w:r w:rsidR="003A2B8A" w:rsidRPr="00BB3D03">
        <w:rPr>
          <w:rStyle w:val="DZVodilnistavekChar"/>
          <w:noProof/>
        </w:rPr>
        <w:t>,</w:t>
      </w:r>
      <w:r w:rsidR="00BB3D03" w:rsidRPr="00BB3D03">
        <w:rPr>
          <w:rStyle w:val="DZVodilnistavekChar"/>
          <w:noProof/>
        </w:rPr>
        <w:t xml:space="preserve"> </w:t>
      </w:r>
      <w:r w:rsidRPr="00BB3D03">
        <w:rPr>
          <w:rStyle w:val="DZVodilnistavekChar"/>
          <w:noProof/>
        </w:rPr>
        <w:t>v letu 202</w:t>
      </w:r>
      <w:r w:rsidR="003A2B8A" w:rsidRPr="00BB3D03">
        <w:rPr>
          <w:rStyle w:val="DZVodilnistavekChar"/>
          <w:noProof/>
        </w:rPr>
        <w:t>3</w:t>
      </w:r>
      <w:r w:rsidRPr="00BB3D03">
        <w:rPr>
          <w:rStyle w:val="DZVodilnistavekChar"/>
          <w:noProof/>
        </w:rPr>
        <w:t xml:space="preserve"> </w:t>
      </w:r>
      <w:r w:rsidR="003A2B8A" w:rsidRPr="00BB3D03">
        <w:rPr>
          <w:rStyle w:val="DZVodilnistavekChar"/>
          <w:noProof/>
        </w:rPr>
        <w:t>pa</w:t>
      </w:r>
      <w:r w:rsidR="00BB3D03" w:rsidRPr="00BB3D03">
        <w:rPr>
          <w:rStyle w:val="DZVodilnistavekChar"/>
          <w:noProof/>
        </w:rPr>
        <w:t xml:space="preserve"> </w:t>
      </w:r>
      <w:r w:rsidR="003A2B8A" w:rsidRPr="00BB3D03">
        <w:rPr>
          <w:rStyle w:val="DZVodilnistavekChar"/>
          <w:noProof/>
        </w:rPr>
        <w:t xml:space="preserve">je </w:t>
      </w:r>
      <w:r w:rsidR="00BB3D03" w:rsidRPr="00BB3D03">
        <w:rPr>
          <w:rStyle w:val="DZVodilnistavekChar"/>
          <w:noProof/>
        </w:rPr>
        <w:t>poslovni rezultat nekoliko poslabšala</w:t>
      </w:r>
      <w:r w:rsidRPr="00BB3D03">
        <w:rPr>
          <w:rStyle w:val="DZVodilnistavekChar"/>
          <w:noProof/>
        </w:rPr>
        <w:t>.</w:t>
      </w:r>
      <w:r w:rsidRPr="008137B9">
        <w:rPr>
          <w:rStyle w:val="DZBesediloChar"/>
          <w:noProof/>
        </w:rPr>
        <w:t xml:space="preserve"> Oddelek sestavljajo raznovrstne dejavnosti, poleg pre</w:t>
      </w:r>
      <w:r w:rsidR="00826C65">
        <w:rPr>
          <w:rStyle w:val="DZBesediloChar"/>
          <w:noProof/>
        </w:rPr>
        <w:t>tovarjanja</w:t>
      </w:r>
      <w:r w:rsidRPr="008137B9">
        <w:rPr>
          <w:rStyle w:val="DZBesediloChar"/>
          <w:noProof/>
        </w:rPr>
        <w:t xml:space="preserve"> (Luka Koper, BTC) in špedicijske dejavnosti še skladiščenje (Zavod RS za blagovne rezerve) ter spremljajoče storitvene dejavnosti v kopenskem (DARS)</w:t>
      </w:r>
      <w:r w:rsidRPr="008137B9">
        <w:rPr>
          <w:rStyle w:val="Sprotnaopomba-sklic"/>
          <w:noProof/>
        </w:rPr>
        <w:footnoteReference w:id="11"/>
      </w:r>
      <w:r w:rsidRPr="008137B9">
        <w:rPr>
          <w:rStyle w:val="DZBesediloChar"/>
          <w:noProof/>
        </w:rPr>
        <w:t xml:space="preserve">, vodnem in zračnem prometu (Fraport, Kontrola zračnega prometa). Dejavnost skladiščenja in spremljajočih prometnih dejavnosti je v obdobju po letu 2008 večinoma poslovala </w:t>
      </w:r>
      <w:r w:rsidR="005453FC" w:rsidRPr="008137B9">
        <w:rPr>
          <w:rStyle w:val="DZBesediloChar"/>
          <w:noProof/>
        </w:rPr>
        <w:t xml:space="preserve">zelo uspešno </w:t>
      </w:r>
      <w:r w:rsidRPr="008137B9">
        <w:rPr>
          <w:rStyle w:val="DZBesediloChar"/>
          <w:noProof/>
        </w:rPr>
        <w:t xml:space="preserve">in povečevala dobiček. </w:t>
      </w:r>
      <w:r w:rsidR="00F135EC">
        <w:rPr>
          <w:rStyle w:val="DZBesediloChar"/>
          <w:noProof/>
        </w:rPr>
        <w:br/>
      </w:r>
      <w:r w:rsidRPr="008137B9">
        <w:rPr>
          <w:rStyle w:val="DZBesediloChar"/>
          <w:noProof/>
        </w:rPr>
        <w:t xml:space="preserve">S precejšnjo izgubo je poslovala le </w:t>
      </w:r>
      <w:r w:rsidR="00A45061" w:rsidRPr="008137B9">
        <w:rPr>
          <w:rStyle w:val="DZBesediloChar"/>
          <w:noProof/>
        </w:rPr>
        <w:t xml:space="preserve">v prvem letu </w:t>
      </w:r>
      <w:r w:rsidR="00FB2992">
        <w:rPr>
          <w:rStyle w:val="DZBesediloChar"/>
          <w:noProof/>
        </w:rPr>
        <w:t>gospodarsko-</w:t>
      </w:r>
      <w:r w:rsidR="00A45061" w:rsidRPr="008137B9">
        <w:rPr>
          <w:rStyle w:val="DZBesediloChar"/>
          <w:noProof/>
        </w:rPr>
        <w:t xml:space="preserve">finančne krize </w:t>
      </w:r>
      <w:r w:rsidRPr="008137B9">
        <w:rPr>
          <w:rStyle w:val="DZBesediloChar"/>
          <w:noProof/>
        </w:rPr>
        <w:t xml:space="preserve">2009, dobiček pa se je </w:t>
      </w:r>
      <w:r w:rsidR="00126342" w:rsidRPr="008137B9">
        <w:rPr>
          <w:rStyle w:val="DZBesediloChar"/>
          <w:noProof/>
        </w:rPr>
        <w:t xml:space="preserve">zaradi velike izgube v dejavnosti skladiščenja </w:t>
      </w:r>
      <w:r w:rsidRPr="008137B9">
        <w:rPr>
          <w:rStyle w:val="DZBesediloChar"/>
          <w:noProof/>
        </w:rPr>
        <w:t xml:space="preserve">opazneje zmanjšal tudi v letu 2015. V nadaljevanju se je poslovanje oddelka H 52 </w:t>
      </w:r>
      <w:r w:rsidR="003A2B8A">
        <w:rPr>
          <w:rStyle w:val="DZBesediloChar"/>
          <w:noProof/>
        </w:rPr>
        <w:t xml:space="preserve">do leta 2018 </w:t>
      </w:r>
      <w:r w:rsidR="003A2B8A" w:rsidRPr="008137B9">
        <w:rPr>
          <w:rStyle w:val="DZBesediloChar"/>
          <w:noProof/>
        </w:rPr>
        <w:t xml:space="preserve">močno </w:t>
      </w:r>
      <w:r w:rsidRPr="008137B9">
        <w:rPr>
          <w:rStyle w:val="DZBesediloChar"/>
          <w:noProof/>
        </w:rPr>
        <w:t>izboljšalo</w:t>
      </w:r>
      <w:r w:rsidR="003A2B8A">
        <w:rPr>
          <w:rStyle w:val="DZBesediloChar"/>
          <w:noProof/>
        </w:rPr>
        <w:t>, ko</w:t>
      </w:r>
      <w:r w:rsidRPr="008137B9">
        <w:rPr>
          <w:rStyle w:val="DZBesediloChar"/>
          <w:noProof/>
        </w:rPr>
        <w:t xml:space="preserve"> so dosegli neto čisti dobiček</w:t>
      </w:r>
      <w:r w:rsidR="003A2B8A">
        <w:rPr>
          <w:rStyle w:val="DZBesediloChar"/>
          <w:noProof/>
        </w:rPr>
        <w:t xml:space="preserve"> v višini</w:t>
      </w:r>
      <w:r w:rsidRPr="008137B9">
        <w:rPr>
          <w:rStyle w:val="DZBesediloChar"/>
          <w:noProof/>
        </w:rPr>
        <w:t xml:space="preserve"> 315 mio EUR, </w:t>
      </w:r>
      <w:r w:rsidR="003A2B8A">
        <w:rPr>
          <w:rStyle w:val="DZBesediloChar"/>
          <w:noProof/>
        </w:rPr>
        <w:t xml:space="preserve">ta pa </w:t>
      </w:r>
      <w:r w:rsidRPr="008137B9">
        <w:rPr>
          <w:rStyle w:val="DZBesediloChar"/>
          <w:noProof/>
        </w:rPr>
        <w:t>se je naslednje leto malo z</w:t>
      </w:r>
      <w:r w:rsidR="00AF0B30">
        <w:rPr>
          <w:rStyle w:val="DZBesediloChar"/>
          <w:noProof/>
        </w:rPr>
        <w:t>manjša</w:t>
      </w:r>
      <w:r w:rsidR="004F0A15">
        <w:rPr>
          <w:rStyle w:val="DZBesediloChar"/>
          <w:noProof/>
        </w:rPr>
        <w:t>l</w:t>
      </w:r>
      <w:r w:rsidRPr="008137B9">
        <w:rPr>
          <w:rStyle w:val="DZBesediloChar"/>
          <w:noProof/>
        </w:rPr>
        <w:t xml:space="preserve">. V letu 2020, to je v </w:t>
      </w:r>
      <w:r w:rsidR="00FB2992">
        <w:rPr>
          <w:rStyle w:val="DZBesediloChar"/>
          <w:noProof/>
        </w:rPr>
        <w:t xml:space="preserve">prvem </w:t>
      </w:r>
      <w:r w:rsidRPr="008137B9">
        <w:rPr>
          <w:rStyle w:val="DZBesediloChar"/>
          <w:noProof/>
        </w:rPr>
        <w:t>letu epidemije</w:t>
      </w:r>
      <w:r>
        <w:rPr>
          <w:rStyle w:val="DZBesediloChar"/>
          <w:noProof/>
        </w:rPr>
        <w:t>,</w:t>
      </w:r>
      <w:r w:rsidRPr="008137B9">
        <w:rPr>
          <w:rStyle w:val="DZBesediloChar"/>
          <w:noProof/>
        </w:rPr>
        <w:t xml:space="preserve"> pa se je poslovanje te najpomembnejše prometne dejavnosti močno poslabšalo, neto čisti dobiček se je z</w:t>
      </w:r>
      <w:r w:rsidR="00AF0B30">
        <w:rPr>
          <w:rStyle w:val="DZBesediloChar"/>
          <w:noProof/>
        </w:rPr>
        <w:t>manjšal</w:t>
      </w:r>
      <w:r w:rsidRPr="008137B9">
        <w:rPr>
          <w:rStyle w:val="DZBesediloChar"/>
          <w:noProof/>
        </w:rPr>
        <w:t xml:space="preserve"> za 161 mio EUR, na le 98 mio EUR (</w:t>
      </w:r>
      <w:r w:rsidR="00A84524">
        <w:rPr>
          <w:rStyle w:val="DZBesediloChar"/>
          <w:noProof/>
        </w:rPr>
        <w:t xml:space="preserve">kar je pomenilo le </w:t>
      </w:r>
      <w:r w:rsidRPr="008137B9">
        <w:rPr>
          <w:rStyle w:val="DZBesediloChar"/>
          <w:noProof/>
        </w:rPr>
        <w:t>polovic</w:t>
      </w:r>
      <w:r w:rsidR="00A84524">
        <w:rPr>
          <w:rStyle w:val="DZBesediloChar"/>
          <w:noProof/>
        </w:rPr>
        <w:t>o</w:t>
      </w:r>
      <w:r w:rsidRPr="008137B9">
        <w:rPr>
          <w:rStyle w:val="DZBesediloChar"/>
          <w:noProof/>
        </w:rPr>
        <w:t xml:space="preserve"> dobička v prometu). </w:t>
      </w:r>
      <w:r w:rsidR="002947A6">
        <w:rPr>
          <w:rStyle w:val="DZBesediloChar"/>
          <w:noProof/>
        </w:rPr>
        <w:t>V let</w:t>
      </w:r>
      <w:r w:rsidR="00A84524">
        <w:rPr>
          <w:rStyle w:val="DZBesediloChar"/>
          <w:noProof/>
        </w:rPr>
        <w:t>ih</w:t>
      </w:r>
      <w:r w:rsidR="002947A6">
        <w:rPr>
          <w:rStyle w:val="DZBesediloChar"/>
          <w:noProof/>
        </w:rPr>
        <w:t xml:space="preserve"> 2021</w:t>
      </w:r>
      <w:r w:rsidR="00A84524">
        <w:rPr>
          <w:rStyle w:val="DZBesediloChar"/>
          <w:noProof/>
        </w:rPr>
        <w:t xml:space="preserve"> in 2022 </w:t>
      </w:r>
      <w:r w:rsidR="002947A6">
        <w:rPr>
          <w:rStyle w:val="DZBesediloChar"/>
          <w:noProof/>
        </w:rPr>
        <w:t xml:space="preserve">je oddelek H 52 spet močno povečal neto čisti dobiček, na prek </w:t>
      </w:r>
      <w:r w:rsidR="00A84524">
        <w:rPr>
          <w:rStyle w:val="DZBesediloChar"/>
          <w:noProof/>
        </w:rPr>
        <w:t>341</w:t>
      </w:r>
      <w:r w:rsidR="002947A6">
        <w:rPr>
          <w:rStyle w:val="DZBesediloChar"/>
          <w:noProof/>
        </w:rPr>
        <w:t xml:space="preserve"> mio EUR</w:t>
      </w:r>
      <w:r w:rsidR="00A84524">
        <w:rPr>
          <w:rStyle w:val="DZBesediloChar"/>
          <w:noProof/>
        </w:rPr>
        <w:t>,</w:t>
      </w:r>
      <w:r w:rsidR="00F924B8">
        <w:rPr>
          <w:rStyle w:val="DZBesediloChar"/>
          <w:noProof/>
        </w:rPr>
        <w:t xml:space="preserve"> </w:t>
      </w:r>
      <w:r w:rsidR="00A84524">
        <w:rPr>
          <w:rStyle w:val="DZBesediloChar"/>
          <w:noProof/>
        </w:rPr>
        <w:t>ki je bil s</w:t>
      </w:r>
      <w:r w:rsidR="00F924B8">
        <w:rPr>
          <w:rStyle w:val="DZBesediloChar"/>
          <w:noProof/>
        </w:rPr>
        <w:t xml:space="preserve"> tem </w:t>
      </w:r>
      <w:r w:rsidR="00A84524">
        <w:rPr>
          <w:rStyle w:val="DZBesediloChar"/>
          <w:noProof/>
        </w:rPr>
        <w:t>(nominalno) najvišji v opazovanem obdobju po letu 2008</w:t>
      </w:r>
      <w:r w:rsidR="002947A6">
        <w:rPr>
          <w:rStyle w:val="DZBesediloChar"/>
          <w:noProof/>
        </w:rPr>
        <w:t>.</w:t>
      </w:r>
      <w:r w:rsidR="00F71AAD">
        <w:rPr>
          <w:rStyle w:val="DZBesediloChar"/>
          <w:noProof/>
        </w:rPr>
        <w:t xml:space="preserve"> V letu 202</w:t>
      </w:r>
      <w:r w:rsidR="00A84524">
        <w:rPr>
          <w:rStyle w:val="DZBesediloChar"/>
          <w:noProof/>
        </w:rPr>
        <w:t>3</w:t>
      </w:r>
      <w:r w:rsidR="00F71AAD">
        <w:rPr>
          <w:rStyle w:val="DZBesediloChar"/>
          <w:noProof/>
        </w:rPr>
        <w:t xml:space="preserve"> se je neto čisti dobiček v oddelku H 52 </w:t>
      </w:r>
      <w:r w:rsidR="00BC136B">
        <w:rPr>
          <w:rStyle w:val="DZBesediloChar"/>
          <w:noProof/>
        </w:rPr>
        <w:t xml:space="preserve">ob poslabšanju poslovnega rezultata v dejavnostih pretovarjanja, skladiščenja in špedicije </w:t>
      </w:r>
      <w:r w:rsidR="00A84524">
        <w:rPr>
          <w:rStyle w:val="DZBesediloChar"/>
          <w:noProof/>
        </w:rPr>
        <w:t>zmanjš</w:t>
      </w:r>
      <w:r w:rsidR="00F71AAD">
        <w:rPr>
          <w:rStyle w:val="DZBesediloChar"/>
          <w:noProof/>
        </w:rPr>
        <w:t xml:space="preserve">al za </w:t>
      </w:r>
      <w:r w:rsidR="00A84524">
        <w:rPr>
          <w:rStyle w:val="DZBesediloChar"/>
          <w:noProof/>
        </w:rPr>
        <w:t>38</w:t>
      </w:r>
      <w:r w:rsidR="00F71AAD">
        <w:rPr>
          <w:rStyle w:val="DZBesediloChar"/>
          <w:noProof/>
        </w:rPr>
        <w:t> %, na 3</w:t>
      </w:r>
      <w:r w:rsidR="00A84524">
        <w:rPr>
          <w:rStyle w:val="DZBesediloChar"/>
          <w:noProof/>
        </w:rPr>
        <w:t>03</w:t>
      </w:r>
      <w:r w:rsidR="00F71AAD">
        <w:rPr>
          <w:rStyle w:val="DZBesediloChar"/>
          <w:noProof/>
        </w:rPr>
        <w:t xml:space="preserve"> mio EUR</w:t>
      </w:r>
      <w:r w:rsidR="00BC136B">
        <w:rPr>
          <w:rStyle w:val="DZBesediloChar"/>
          <w:noProof/>
        </w:rPr>
        <w:t>.</w:t>
      </w:r>
    </w:p>
    <w:p w14:paraId="66FDAB52" w14:textId="6CC3DC4C" w:rsidR="00E55544" w:rsidRDefault="00E55544" w:rsidP="00E55544">
      <w:pPr>
        <w:pStyle w:val="Napis"/>
        <w:rPr>
          <w:rStyle w:val="DZBesediloChar"/>
          <w:szCs w:val="20"/>
        </w:rPr>
      </w:pPr>
      <w:r w:rsidRPr="00355D96">
        <w:t xml:space="preserve">Slika </w:t>
      </w:r>
      <w:r w:rsidRPr="00355D96">
        <w:fldChar w:fldCharType="begin"/>
      </w:r>
      <w:r w:rsidRPr="00355D96">
        <w:instrText xml:space="preserve"> SEQ Slika \* ARABIC </w:instrText>
      </w:r>
      <w:r w:rsidRPr="00355D96">
        <w:fldChar w:fldCharType="separate"/>
      </w:r>
      <w:r w:rsidR="00B002B7">
        <w:t>8</w:t>
      </w:r>
      <w:r w:rsidRPr="00355D96">
        <w:fldChar w:fldCharType="end"/>
      </w:r>
      <w:r w:rsidRPr="00355D96">
        <w:rPr>
          <w:rStyle w:val="DZBesediloChar"/>
          <w:szCs w:val="20"/>
        </w:rPr>
        <w:t xml:space="preserve">: </w:t>
      </w:r>
      <w:r w:rsidR="00C8466C">
        <w:t>Neto čisti dobiček se je v letu 2023 v oddelku H 52 zmanjšal, zaradi slabšega poslovanja v</w:t>
      </w:r>
      <w:r w:rsidRPr="00355D96">
        <w:rPr>
          <w:rStyle w:val="DZBesediloChar"/>
          <w:szCs w:val="20"/>
        </w:rPr>
        <w:t xml:space="preserve"> </w:t>
      </w:r>
      <w:r w:rsidR="00C8466C">
        <w:rPr>
          <w:rStyle w:val="DZBesediloChar"/>
        </w:rPr>
        <w:t>dejavnostih pretovarjanja, skladiščenja in špedicije</w:t>
      </w:r>
    </w:p>
    <w:p w14:paraId="2CA25FDA" w14:textId="33271E93" w:rsidR="00E55544" w:rsidRPr="00CE2BF4" w:rsidRDefault="005B15B0" w:rsidP="00E55544">
      <w:pPr>
        <w:pStyle w:val="BesediloUMAR"/>
      </w:pPr>
      <w:r w:rsidRPr="005B15B0">
        <w:rPr>
          <w:noProof/>
        </w:rPr>
        <w:drawing>
          <wp:inline distT="0" distB="0" distL="0" distR="0" wp14:anchorId="279467AB" wp14:editId="35F73714">
            <wp:extent cx="5759450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66D8" w14:textId="4B46C556" w:rsidR="002947A6" w:rsidRDefault="00E55544" w:rsidP="00E55544">
      <w:pPr>
        <w:pStyle w:val="VirUMAR"/>
        <w:rPr>
          <w:rStyle w:val="DZBesediloChar"/>
          <w:noProof/>
        </w:rPr>
      </w:pPr>
      <w:r w:rsidRPr="008F6BED">
        <w:t xml:space="preserve">Vir podatkov: </w:t>
      </w:r>
      <w:r>
        <w:fldChar w:fldCharType="begin"/>
      </w:r>
      <w:r>
        <w:instrText xml:space="preserve"> ADDIN ZOTERO_ITEM CSL_CITATION {"citationID":"dniFEhuZ","properties":{"formattedCitation":"(AJPES,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Pr="00B3524B">
        <w:t xml:space="preserve">AJPES </w:t>
      </w:r>
      <w:r>
        <w:t>(</w:t>
      </w:r>
      <w:r w:rsidRPr="00B3524B">
        <w:t>202</w:t>
      </w:r>
      <w:r w:rsidR="005B15B0">
        <w:t>4</w:t>
      </w:r>
      <w:r w:rsidRPr="00B3524B">
        <w:t>)</w:t>
      </w:r>
      <w:r>
        <w:fldChar w:fldCharType="end"/>
      </w:r>
      <w:r w:rsidRPr="008F6BED">
        <w:t>, lastni izračuni.</w:t>
      </w:r>
    </w:p>
    <w:p w14:paraId="5564450C" w14:textId="0AE735E8" w:rsidR="00D17D55" w:rsidRDefault="00D17D55" w:rsidP="001C45CE">
      <w:pPr>
        <w:pStyle w:val="BesediloUMAR"/>
        <w:rPr>
          <w:b/>
          <w:bCs/>
          <w:noProof/>
        </w:rPr>
      </w:pPr>
    </w:p>
    <w:p w14:paraId="630BCBC9" w14:textId="77777777" w:rsidR="002B071D" w:rsidRDefault="002B071D" w:rsidP="001C45CE">
      <w:pPr>
        <w:pStyle w:val="BesediloUMAR"/>
        <w:rPr>
          <w:b/>
          <w:bCs/>
          <w:noProof/>
        </w:rPr>
      </w:pPr>
    </w:p>
    <w:p w14:paraId="5093F505" w14:textId="48E40E60" w:rsidR="001C45CE" w:rsidRPr="008C560E" w:rsidRDefault="00E06C1C" w:rsidP="001C45CE">
      <w:pPr>
        <w:pStyle w:val="BesediloUMAR"/>
      </w:pPr>
      <w:bookmarkStart w:id="41" w:name="_Hlk166677889"/>
      <w:r w:rsidRPr="000578BD">
        <w:rPr>
          <w:b/>
          <w:bCs/>
          <w:noProof/>
        </w:rPr>
        <w:t xml:space="preserve">V okviru oddelka </w:t>
      </w:r>
      <w:r w:rsidR="002947A6" w:rsidRPr="000578BD">
        <w:rPr>
          <w:b/>
          <w:bCs/>
          <w:noProof/>
        </w:rPr>
        <w:t xml:space="preserve">H 52 </w:t>
      </w:r>
      <w:r w:rsidR="00AE27F1" w:rsidRPr="000578BD">
        <w:rPr>
          <w:b/>
          <w:bCs/>
          <w:noProof/>
        </w:rPr>
        <w:t>v večini</w:t>
      </w:r>
      <w:bookmarkEnd w:id="41"/>
      <w:r w:rsidR="00AE27F1" w:rsidRPr="000578BD">
        <w:rPr>
          <w:b/>
          <w:bCs/>
          <w:noProof/>
        </w:rPr>
        <w:t xml:space="preserve"> </w:t>
      </w:r>
      <w:r w:rsidR="006D3986">
        <w:rPr>
          <w:b/>
          <w:bCs/>
          <w:noProof/>
        </w:rPr>
        <w:t xml:space="preserve">analiziranih </w:t>
      </w:r>
      <w:r w:rsidR="00AE27F1" w:rsidRPr="000578BD">
        <w:rPr>
          <w:b/>
          <w:bCs/>
          <w:noProof/>
        </w:rPr>
        <w:t xml:space="preserve">let </w:t>
      </w:r>
      <w:r w:rsidRPr="000578BD">
        <w:rPr>
          <w:b/>
          <w:bCs/>
          <w:noProof/>
        </w:rPr>
        <w:t>najbolje posl</w:t>
      </w:r>
      <w:r w:rsidR="00E55544" w:rsidRPr="000578BD">
        <w:rPr>
          <w:b/>
          <w:bCs/>
          <w:noProof/>
        </w:rPr>
        <w:t>ujejo</w:t>
      </w:r>
      <w:r w:rsidRPr="000578BD">
        <w:rPr>
          <w:b/>
          <w:bCs/>
          <w:noProof/>
        </w:rPr>
        <w:t xml:space="preserve"> spremljajoče storitvene dejavnosti v kopenskem prometu</w:t>
      </w:r>
      <w:r w:rsidR="00BC136B">
        <w:rPr>
          <w:b/>
          <w:bCs/>
          <w:noProof/>
        </w:rPr>
        <w:t>, kjer se je poslovni rezultat tudi v letu 2023 nadalje izboljšal</w:t>
      </w:r>
      <w:r w:rsidR="00AE27F1" w:rsidRPr="000578BD">
        <w:rPr>
          <w:b/>
          <w:bCs/>
          <w:noProof/>
        </w:rPr>
        <w:t>.</w:t>
      </w:r>
      <w:r w:rsidR="00AE27F1">
        <w:rPr>
          <w:noProof/>
        </w:rPr>
        <w:t xml:space="preserve"> </w:t>
      </w:r>
      <w:r w:rsidR="00BC136B">
        <w:rPr>
          <w:noProof/>
        </w:rPr>
        <w:t>V</w:t>
      </w:r>
      <w:r w:rsidR="00AE27F1">
        <w:rPr>
          <w:noProof/>
        </w:rPr>
        <w:t xml:space="preserve"> letu 2020</w:t>
      </w:r>
      <w:r w:rsidR="00BC136B">
        <w:rPr>
          <w:noProof/>
        </w:rPr>
        <w:t>, torej v letu epidemije</w:t>
      </w:r>
      <w:r w:rsidR="00244B48">
        <w:rPr>
          <w:noProof/>
        </w:rPr>
        <w:t>,</w:t>
      </w:r>
      <w:r w:rsidR="00BC136B">
        <w:rPr>
          <w:noProof/>
        </w:rPr>
        <w:t xml:space="preserve"> pa je bila </w:t>
      </w:r>
      <w:r w:rsidR="00352C0E">
        <w:rPr>
          <w:noProof/>
        </w:rPr>
        <w:t xml:space="preserve">ta </w:t>
      </w:r>
      <w:r w:rsidR="00BC136B">
        <w:rPr>
          <w:noProof/>
        </w:rPr>
        <w:t>dejavnost precej prizadeta z omejitvenimi ukrepi</w:t>
      </w:r>
      <w:r w:rsidR="00352C0E">
        <w:rPr>
          <w:noProof/>
        </w:rPr>
        <w:t>. P</w:t>
      </w:r>
      <w:r w:rsidR="00AE27F1" w:rsidRPr="00352C0E">
        <w:rPr>
          <w:noProof/>
        </w:rPr>
        <w:t>oslovanje</w:t>
      </w:r>
      <w:r w:rsidR="00352C0E">
        <w:rPr>
          <w:noProof/>
        </w:rPr>
        <w:t xml:space="preserve"> so</w:t>
      </w:r>
      <w:r w:rsidR="00AE27F1" w:rsidRPr="00352C0E">
        <w:rPr>
          <w:noProof/>
        </w:rPr>
        <w:t xml:space="preserve"> </w:t>
      </w:r>
      <w:r w:rsidR="00352C0E">
        <w:rPr>
          <w:noProof/>
        </w:rPr>
        <w:t xml:space="preserve">takrat </w:t>
      </w:r>
      <w:r w:rsidR="00AE27F1" w:rsidRPr="00352C0E">
        <w:rPr>
          <w:noProof/>
        </w:rPr>
        <w:t>zaključili</w:t>
      </w:r>
      <w:r w:rsidRPr="00352C0E">
        <w:rPr>
          <w:noProof/>
        </w:rPr>
        <w:t xml:space="preserve"> s 67 mio </w:t>
      </w:r>
      <w:r w:rsidR="00DA439B" w:rsidRPr="00352C0E">
        <w:rPr>
          <w:noProof/>
        </w:rPr>
        <w:t>EUR</w:t>
      </w:r>
      <w:r w:rsidRPr="00352C0E">
        <w:rPr>
          <w:noProof/>
        </w:rPr>
        <w:t xml:space="preserve"> neto čistega dobička</w:t>
      </w:r>
      <w:r w:rsidR="00352C0E">
        <w:rPr>
          <w:noProof/>
        </w:rPr>
        <w:t xml:space="preserve">, kar je </w:t>
      </w:r>
      <w:r w:rsidR="00352C0E" w:rsidRPr="00292500">
        <w:rPr>
          <w:noProof/>
        </w:rPr>
        <w:t xml:space="preserve">bil </w:t>
      </w:r>
      <w:r w:rsidR="00352C0E">
        <w:rPr>
          <w:noProof/>
        </w:rPr>
        <w:t>največji upad</w:t>
      </w:r>
      <w:r w:rsidR="007D0E31" w:rsidRPr="007D0E31">
        <w:rPr>
          <w:noProof/>
        </w:rPr>
        <w:t xml:space="preserve"> </w:t>
      </w:r>
      <w:r w:rsidR="007D0E31" w:rsidRPr="00352C0E">
        <w:rPr>
          <w:noProof/>
        </w:rPr>
        <w:t>med vsemi prometnimi dejavnostmi</w:t>
      </w:r>
      <w:r w:rsidR="00352C0E">
        <w:rPr>
          <w:noProof/>
        </w:rPr>
        <w:t xml:space="preserve">, in sicer </w:t>
      </w:r>
      <w:r w:rsidRPr="00352C0E">
        <w:rPr>
          <w:noProof/>
        </w:rPr>
        <w:t>za 80 mio EUR. Prodajni prihodki</w:t>
      </w:r>
      <w:r w:rsidRPr="008137B9">
        <w:rPr>
          <w:noProof/>
        </w:rPr>
        <w:t xml:space="preserve"> so se z</w:t>
      </w:r>
      <w:r w:rsidR="00A90BF3">
        <w:rPr>
          <w:noProof/>
        </w:rPr>
        <w:t>manjšali</w:t>
      </w:r>
      <w:r w:rsidRPr="008137B9">
        <w:rPr>
          <w:noProof/>
        </w:rPr>
        <w:t xml:space="preserve"> za 16 %, poslovni odhodki pa bistveno manj (stroški dela in amortizacija so se še povečali). </w:t>
      </w:r>
      <w:r w:rsidR="004F1AB8">
        <w:rPr>
          <w:noProof/>
        </w:rPr>
        <w:t>I</w:t>
      </w:r>
      <w:r w:rsidRPr="008137B9">
        <w:rPr>
          <w:noProof/>
        </w:rPr>
        <w:t>z podatkov DARS izhaja, da se je v letu 2020 glede na predhodno leto promet elektronsko cestninjenih vozil, torej v glavnem tovornih vozil na slovenskih avtocestah</w:t>
      </w:r>
      <w:r>
        <w:rPr>
          <w:noProof/>
        </w:rPr>
        <w:t>,</w:t>
      </w:r>
      <w:r w:rsidRPr="008137B9">
        <w:rPr>
          <w:noProof/>
        </w:rPr>
        <w:t xml:space="preserve"> z</w:t>
      </w:r>
      <w:r w:rsidR="00817694">
        <w:rPr>
          <w:noProof/>
        </w:rPr>
        <w:t>manjšal</w:t>
      </w:r>
      <w:r w:rsidRPr="008137B9">
        <w:rPr>
          <w:noProof/>
        </w:rPr>
        <w:t xml:space="preserve"> za skoraj desetino, promet vozil z vinjeto, torej v glavnem osebnih vozil in kombijev</w:t>
      </w:r>
      <w:r>
        <w:rPr>
          <w:noProof/>
        </w:rPr>
        <w:t>,</w:t>
      </w:r>
      <w:r w:rsidRPr="008137B9">
        <w:rPr>
          <w:noProof/>
        </w:rPr>
        <w:t xml:space="preserve"> pa za skoraj četrtino. </w:t>
      </w:r>
      <w:r w:rsidR="004F1AB8">
        <w:rPr>
          <w:noProof/>
        </w:rPr>
        <w:t xml:space="preserve">Poslovanje se je potem vse do leta 2023 izboljševalo, ko se je neto čisti dobiček </w:t>
      </w:r>
      <w:r w:rsidR="003A31D4">
        <w:rPr>
          <w:noProof/>
        </w:rPr>
        <w:t xml:space="preserve">s 154 mio EUR izenačil s prej (nominalno) najvišjim iz leta 2018. </w:t>
      </w:r>
      <w:r w:rsidR="00CB49E1">
        <w:rPr>
          <w:rStyle w:val="DZBesediloChar"/>
          <w:noProof/>
          <w:spacing w:val="-6"/>
        </w:rPr>
        <w:t>V tej dejavnosti daleč največji del dobička</w:t>
      </w:r>
      <w:r w:rsidR="00CB49E1" w:rsidRPr="008E4203">
        <w:rPr>
          <w:rStyle w:val="DZBesediloChar"/>
          <w:noProof/>
          <w:spacing w:val="-6"/>
        </w:rPr>
        <w:t xml:space="preserve"> </w:t>
      </w:r>
      <w:r w:rsidR="00CB49E1">
        <w:rPr>
          <w:rStyle w:val="DZBesediloChar"/>
          <w:noProof/>
          <w:spacing w:val="-6"/>
        </w:rPr>
        <w:t xml:space="preserve">dosega družba DARS. </w:t>
      </w:r>
      <w:r w:rsidR="003D6DE9">
        <w:rPr>
          <w:noProof/>
        </w:rPr>
        <w:t>D</w:t>
      </w:r>
      <w:r w:rsidR="003A31D4" w:rsidRPr="008137B9">
        <w:rPr>
          <w:rStyle w:val="DZBesediloChar"/>
          <w:noProof/>
        </w:rPr>
        <w:t xml:space="preserve">ruga po uspešnosti poslovanja </w:t>
      </w:r>
      <w:r w:rsidR="003D6DE9">
        <w:rPr>
          <w:rStyle w:val="DZBesediloChar"/>
          <w:noProof/>
        </w:rPr>
        <w:t>v</w:t>
      </w:r>
      <w:r w:rsidR="003D6DE9" w:rsidRPr="003D6DE9">
        <w:rPr>
          <w:noProof/>
        </w:rPr>
        <w:t xml:space="preserve"> okviru oddelka H 52 </w:t>
      </w:r>
      <w:r w:rsidR="003D6DE9">
        <w:rPr>
          <w:noProof/>
        </w:rPr>
        <w:t>je</w:t>
      </w:r>
      <w:r w:rsidR="003D6DE9" w:rsidRPr="003D6DE9">
        <w:rPr>
          <w:noProof/>
        </w:rPr>
        <w:t xml:space="preserve"> </w:t>
      </w:r>
      <w:r w:rsidR="003D6DE9">
        <w:rPr>
          <w:rStyle w:val="DZBesediloChar"/>
          <w:noProof/>
        </w:rPr>
        <w:t>d</w:t>
      </w:r>
      <w:r w:rsidRPr="008137B9">
        <w:rPr>
          <w:rStyle w:val="DZBesediloChar"/>
          <w:noProof/>
        </w:rPr>
        <w:t>ejavnost pretovarjanja</w:t>
      </w:r>
      <w:r w:rsidR="003D6DE9">
        <w:rPr>
          <w:rStyle w:val="DZBesediloChar"/>
          <w:noProof/>
        </w:rPr>
        <w:t xml:space="preserve">, kjer so le v letu 2009 ob gospodarski in finančni krizi zabeležili večjo izgubo, kasneje pa so poslovali z </w:t>
      </w:r>
      <w:r w:rsidR="003D6DE9" w:rsidRPr="007374DA">
        <w:rPr>
          <w:rStyle w:val="DZBesediloChar"/>
          <w:noProof/>
        </w:rPr>
        <w:t>dokaj stabilnim dobičkom</w:t>
      </w:r>
      <w:r w:rsidR="00BC592A">
        <w:rPr>
          <w:rStyle w:val="DZBesediloChar"/>
          <w:noProof/>
        </w:rPr>
        <w:t xml:space="preserve">. V letu </w:t>
      </w:r>
      <w:r w:rsidR="00826C65" w:rsidRPr="007374DA">
        <w:rPr>
          <w:rStyle w:val="DZBesediloChar"/>
          <w:noProof/>
        </w:rPr>
        <w:t>2022</w:t>
      </w:r>
      <w:r w:rsidR="00BC592A">
        <w:rPr>
          <w:rStyle w:val="DZBesediloChar"/>
          <w:noProof/>
        </w:rPr>
        <w:t xml:space="preserve"> se je zelo okrepil</w:t>
      </w:r>
      <w:r w:rsidR="00826C65" w:rsidRPr="007374DA">
        <w:rPr>
          <w:rStyle w:val="DZBesediloChar"/>
          <w:noProof/>
        </w:rPr>
        <w:t xml:space="preserve">, </w:t>
      </w:r>
      <w:r w:rsidR="00826C65" w:rsidRPr="007374DA">
        <w:rPr>
          <w:rStyle w:val="DZBesediloChar"/>
          <w:noProof/>
        </w:rPr>
        <w:lastRenderedPageBreak/>
        <w:t xml:space="preserve">na skoraj 83 mio EUR, v letu 2023 pa zmanjšal </w:t>
      </w:r>
      <w:r w:rsidR="00FE50F7">
        <w:rPr>
          <w:rStyle w:val="DZBesediloChar"/>
          <w:noProof/>
        </w:rPr>
        <w:t xml:space="preserve">za </w:t>
      </w:r>
      <w:r w:rsidR="00826C65" w:rsidRPr="007374DA">
        <w:rPr>
          <w:rStyle w:val="DZBesediloChar"/>
          <w:noProof/>
        </w:rPr>
        <w:t>skoraj četrtino</w:t>
      </w:r>
      <w:r w:rsidR="006A5B25" w:rsidRPr="007374DA">
        <w:rPr>
          <w:rStyle w:val="DZBesediloChar"/>
          <w:noProof/>
        </w:rPr>
        <w:t>.</w:t>
      </w:r>
      <w:r w:rsidRPr="007374DA">
        <w:rPr>
          <w:rStyle w:val="DZBesediloChar"/>
          <w:noProof/>
        </w:rPr>
        <w:t xml:space="preserve"> </w:t>
      </w:r>
      <w:r w:rsidR="00900414" w:rsidRPr="007374DA">
        <w:rPr>
          <w:rStyle w:val="DZBesediloChar"/>
          <w:noProof/>
        </w:rPr>
        <w:t xml:space="preserve">Na to je vplival </w:t>
      </w:r>
      <w:r w:rsidR="00995AA3" w:rsidRPr="007374DA">
        <w:rPr>
          <w:rStyle w:val="DZBesediloChar"/>
          <w:noProof/>
        </w:rPr>
        <w:t>tudi poslabšani poslovni izid v Luki Koper</w:t>
      </w:r>
      <w:r w:rsidR="00CB525F">
        <w:rPr>
          <w:rStyle w:val="DZBesediloChar"/>
          <w:noProof/>
        </w:rPr>
        <w:t>. K</w:t>
      </w:r>
      <w:r w:rsidR="00900414" w:rsidRPr="007374DA">
        <w:rPr>
          <w:rStyle w:val="DZBesediloChar"/>
          <w:noProof/>
        </w:rPr>
        <w:t>ot je razbrati iz njihovega Letnega poročila za leto 2023,</w:t>
      </w:r>
      <w:r w:rsidR="00995AA3" w:rsidRPr="007374DA">
        <w:rPr>
          <w:rStyle w:val="DZBesediloChar"/>
          <w:noProof/>
        </w:rPr>
        <w:t xml:space="preserve"> </w:t>
      </w:r>
      <w:r w:rsidR="00900414" w:rsidRPr="007374DA">
        <w:rPr>
          <w:rStyle w:val="DZBesediloChar"/>
          <w:noProof/>
        </w:rPr>
        <w:t>pa poslabšanje</w:t>
      </w:r>
      <w:r w:rsidR="00995AA3" w:rsidRPr="007374DA">
        <w:rPr>
          <w:rStyle w:val="DZBesediloChar"/>
          <w:noProof/>
        </w:rPr>
        <w:t xml:space="preserve"> n</w:t>
      </w:r>
      <w:r w:rsidR="00900414" w:rsidRPr="007374DA">
        <w:rPr>
          <w:rStyle w:val="DZBesediloChar"/>
          <w:noProof/>
        </w:rPr>
        <w:t>i</w:t>
      </w:r>
      <w:r w:rsidR="00995AA3" w:rsidRPr="007374DA">
        <w:rPr>
          <w:rStyle w:val="DZBesediloChar"/>
          <w:noProof/>
        </w:rPr>
        <w:t xml:space="preserve"> bilo posledica napetosti v Rdečem morju</w:t>
      </w:r>
      <w:r w:rsidR="00900414" w:rsidRPr="007374DA">
        <w:rPr>
          <w:rStyle w:val="DZBesediloChar"/>
          <w:noProof/>
        </w:rPr>
        <w:t xml:space="preserve"> (kar seveda ostaja tveganje za poslovanje v letošnjem letu), ampak</w:t>
      </w:r>
      <w:r w:rsidR="004A1FC4" w:rsidRPr="007374DA">
        <w:rPr>
          <w:rStyle w:val="DZBesediloChar"/>
          <w:noProof/>
        </w:rPr>
        <w:t xml:space="preserve"> je bilo povezano </w:t>
      </w:r>
      <w:r w:rsidR="00CB525F" w:rsidRPr="007374DA">
        <w:rPr>
          <w:rStyle w:val="DZBesediloChar"/>
          <w:noProof/>
        </w:rPr>
        <w:t xml:space="preserve">predvsem </w:t>
      </w:r>
      <w:r w:rsidR="004A1FC4" w:rsidRPr="007374DA">
        <w:rPr>
          <w:rStyle w:val="DZBesediloChar"/>
          <w:noProof/>
        </w:rPr>
        <w:t>z zmanjšanjem prihodkov iz skladiščnin</w:t>
      </w:r>
      <w:r w:rsidR="00995AA3" w:rsidRPr="007374DA">
        <w:rPr>
          <w:rStyle w:val="DZBesediloChar"/>
          <w:noProof/>
        </w:rPr>
        <w:t xml:space="preserve">. </w:t>
      </w:r>
      <w:bookmarkStart w:id="42" w:name="_Hlk166682216"/>
      <w:r w:rsidR="00995AA3" w:rsidRPr="007374DA">
        <w:rPr>
          <w:rStyle w:val="DZBesediloChar"/>
          <w:noProof/>
        </w:rPr>
        <w:t xml:space="preserve">Na tretje mesto po uspešnosti poslovanja </w:t>
      </w:r>
      <w:r w:rsidR="00995AA3" w:rsidRPr="007374DA">
        <w:rPr>
          <w:noProof/>
        </w:rPr>
        <w:t xml:space="preserve">oddelka H 52 se je </w:t>
      </w:r>
      <w:r w:rsidR="00995AA3" w:rsidRPr="007374DA">
        <w:rPr>
          <w:rStyle w:val="DZBesediloChar"/>
          <w:noProof/>
        </w:rPr>
        <w:t>vsaj zadnja leta uvrstila</w:t>
      </w:r>
      <w:r w:rsidR="00C8466C" w:rsidRPr="007374DA">
        <w:rPr>
          <w:rStyle w:val="DZBesediloChar"/>
          <w:noProof/>
        </w:rPr>
        <w:t xml:space="preserve"> dejavnost </w:t>
      </w:r>
      <w:bookmarkEnd w:id="42"/>
      <w:r w:rsidR="00C8466C" w:rsidRPr="007374DA">
        <w:rPr>
          <w:rStyle w:val="DZBesediloChar"/>
          <w:noProof/>
        </w:rPr>
        <w:t>špe</w:t>
      </w:r>
      <w:r w:rsidRPr="007374DA">
        <w:rPr>
          <w:rStyle w:val="DZBesediloChar"/>
          <w:noProof/>
        </w:rPr>
        <w:t xml:space="preserve">dicije, kjer so </w:t>
      </w:r>
      <w:r w:rsidR="00C8466C" w:rsidRPr="007374DA">
        <w:rPr>
          <w:rStyle w:val="DZBesediloChar"/>
          <w:noProof/>
        </w:rPr>
        <w:t xml:space="preserve">po </w:t>
      </w:r>
      <w:r w:rsidR="006024DC" w:rsidRPr="007374DA">
        <w:rPr>
          <w:rStyle w:val="DZBesediloChar"/>
          <w:noProof/>
        </w:rPr>
        <w:t xml:space="preserve">letu 2008 nekaj let poslovali z izgubo in je tudi tedaj največja družba v tej dejavnosti precej izgubila na moči. Kasneje se je dobiček v dejavnosti, ki jo </w:t>
      </w:r>
      <w:r w:rsidR="00E84479" w:rsidRPr="007374DA">
        <w:rPr>
          <w:rStyle w:val="DZBesediloChar"/>
          <w:noProof/>
        </w:rPr>
        <w:t>zdaj</w:t>
      </w:r>
      <w:r w:rsidR="006024DC" w:rsidRPr="007374DA">
        <w:rPr>
          <w:rStyle w:val="DZBesediloChar"/>
          <w:noProof/>
        </w:rPr>
        <w:t xml:space="preserve"> sestavlja množica manjših družb, vendarle začel </w:t>
      </w:r>
      <w:r w:rsidR="00244B48" w:rsidRPr="007374DA">
        <w:rPr>
          <w:rStyle w:val="DZBesediloChar"/>
          <w:noProof/>
        </w:rPr>
        <w:t xml:space="preserve">postopno </w:t>
      </w:r>
      <w:r w:rsidR="00166F67" w:rsidRPr="007374DA">
        <w:rPr>
          <w:rStyle w:val="DZBesediloChar"/>
          <w:noProof/>
        </w:rPr>
        <w:t>poveč</w:t>
      </w:r>
      <w:r w:rsidR="006024DC" w:rsidRPr="007374DA">
        <w:rPr>
          <w:rStyle w:val="DZBesediloChar"/>
          <w:noProof/>
        </w:rPr>
        <w:t>ev</w:t>
      </w:r>
      <w:r w:rsidR="00166F67" w:rsidRPr="007374DA">
        <w:rPr>
          <w:rStyle w:val="DZBesediloChar"/>
          <w:noProof/>
        </w:rPr>
        <w:t>a</w:t>
      </w:r>
      <w:r w:rsidR="006024DC" w:rsidRPr="007374DA">
        <w:rPr>
          <w:rStyle w:val="DZBesediloChar"/>
          <w:noProof/>
        </w:rPr>
        <w:t xml:space="preserve">ti in je v letu 2022 dosegel najvišjo raven, </w:t>
      </w:r>
      <w:r w:rsidR="00A27F35" w:rsidRPr="007374DA">
        <w:rPr>
          <w:rStyle w:val="DZBesediloChar"/>
          <w:noProof/>
        </w:rPr>
        <w:t>52 mio EUR</w:t>
      </w:r>
      <w:r w:rsidR="00166F67" w:rsidRPr="007374DA">
        <w:rPr>
          <w:rStyle w:val="DZBesediloChar"/>
          <w:noProof/>
        </w:rPr>
        <w:t xml:space="preserve">. </w:t>
      </w:r>
      <w:r w:rsidR="00A27F35" w:rsidRPr="007374DA">
        <w:rPr>
          <w:rStyle w:val="DZBesediloChar"/>
          <w:noProof/>
        </w:rPr>
        <w:t>V letu 2023 se je poslovanje poslabšalo i</w:t>
      </w:r>
      <w:r w:rsidR="00A27F35">
        <w:rPr>
          <w:rStyle w:val="DZBesediloChar"/>
          <w:noProof/>
        </w:rPr>
        <w:t xml:space="preserve">n neto čisti dobiček se je zmanjšal skoraj za tretjino. Na četrto mesto po uspešnosti poslovanja </w:t>
      </w:r>
      <w:r w:rsidR="00A27F35" w:rsidRPr="003D6DE9">
        <w:rPr>
          <w:noProof/>
        </w:rPr>
        <w:t xml:space="preserve">oddelka H 52 </w:t>
      </w:r>
      <w:r w:rsidR="00A27F35">
        <w:rPr>
          <w:noProof/>
        </w:rPr>
        <w:t xml:space="preserve">se je </w:t>
      </w:r>
      <w:r w:rsidR="00A27F35">
        <w:rPr>
          <w:rStyle w:val="DZBesediloChar"/>
          <w:noProof/>
        </w:rPr>
        <w:t xml:space="preserve">zadnja leta uvrstila dejavnost skladiščenja. Nihanje poslovnega rezultata v skladiščenju je </w:t>
      </w:r>
      <w:r w:rsidR="005C3F20">
        <w:rPr>
          <w:rStyle w:val="DZBesediloChar"/>
          <w:noProof/>
        </w:rPr>
        <w:t xml:space="preserve">v največji meri </w:t>
      </w:r>
      <w:r w:rsidR="00A27F35">
        <w:rPr>
          <w:rStyle w:val="DZBesediloChar"/>
          <w:noProof/>
        </w:rPr>
        <w:t xml:space="preserve">povezano </w:t>
      </w:r>
      <w:r w:rsidR="000B1412">
        <w:rPr>
          <w:rStyle w:val="DZBesediloChar"/>
          <w:noProof/>
        </w:rPr>
        <w:t xml:space="preserve">z </w:t>
      </w:r>
      <w:r w:rsidR="000B1412" w:rsidRPr="008137B9">
        <w:rPr>
          <w:rStyle w:val="DZBesediloChar"/>
          <w:noProof/>
        </w:rPr>
        <w:t>zagotavljanj</w:t>
      </w:r>
      <w:r w:rsidR="000B1412">
        <w:rPr>
          <w:rStyle w:val="DZBesediloChar"/>
          <w:noProof/>
        </w:rPr>
        <w:t>em</w:t>
      </w:r>
      <w:r w:rsidR="000B1412" w:rsidRPr="008137B9">
        <w:rPr>
          <w:rStyle w:val="DZBesediloChar"/>
          <w:noProof/>
        </w:rPr>
        <w:t xml:space="preserve"> blagovnih rezerv</w:t>
      </w:r>
      <w:r w:rsidR="000B1412">
        <w:rPr>
          <w:rStyle w:val="DZBesediloChar"/>
          <w:noProof/>
        </w:rPr>
        <w:t xml:space="preserve"> in njihovim prevrednotova</w:t>
      </w:r>
      <w:r w:rsidR="000B1412" w:rsidRPr="005C3F20">
        <w:rPr>
          <w:rStyle w:val="DZBesediloChar"/>
          <w:noProof/>
        </w:rPr>
        <w:t>njem, predvsem</w:t>
      </w:r>
      <w:r w:rsidR="000B1412">
        <w:rPr>
          <w:rStyle w:val="DZBesediloChar"/>
          <w:noProof/>
        </w:rPr>
        <w:t xml:space="preserve"> rezerv tekočih goriv, kjer se cene med leti zelo spreminjajo v skladu z gibanjem cen nafte. Tako prevrednotovanje je že v letu 2014 in 2015 povzročilo veliko izgubo, v rdečih številkah pa so poslovali tudi v letu epidemije</w:t>
      </w:r>
      <w:r w:rsidR="00FA623B">
        <w:rPr>
          <w:rStyle w:val="DZBesediloChar"/>
          <w:noProof/>
        </w:rPr>
        <w:t>, ko so se</w:t>
      </w:r>
      <w:r w:rsidR="00FA623B" w:rsidRPr="00FA623B">
        <w:rPr>
          <w:rStyle w:val="DZBesediloChar"/>
          <w:noProof/>
        </w:rPr>
        <w:t xml:space="preserve"> </w:t>
      </w:r>
      <w:r w:rsidR="00FA623B" w:rsidRPr="008137B9">
        <w:rPr>
          <w:rStyle w:val="DZBesediloChar"/>
          <w:noProof/>
        </w:rPr>
        <w:t xml:space="preserve">poslovni odhodki povečali </w:t>
      </w:r>
      <w:r w:rsidR="00244B48" w:rsidRPr="008137B9">
        <w:rPr>
          <w:rStyle w:val="DZBesediloChar"/>
          <w:noProof/>
        </w:rPr>
        <w:t xml:space="preserve">skoraj trikrat bolj </w:t>
      </w:r>
      <w:r w:rsidR="00FA623B" w:rsidRPr="006771D0">
        <w:rPr>
          <w:rStyle w:val="DZBesediloChar"/>
          <w:noProof/>
          <w:spacing w:val="-6"/>
        </w:rPr>
        <w:t>od poslovnih prihodkov</w:t>
      </w:r>
      <w:r w:rsidR="000B1412">
        <w:rPr>
          <w:rStyle w:val="DZBesediloChar"/>
          <w:noProof/>
        </w:rPr>
        <w:t>. Kot peto dejavnost po uspešnosti poslovanja</w:t>
      </w:r>
      <w:r w:rsidR="000B1412" w:rsidRPr="008137B9">
        <w:rPr>
          <w:rStyle w:val="DZBesediloChar"/>
          <w:noProof/>
        </w:rPr>
        <w:t xml:space="preserve"> </w:t>
      </w:r>
      <w:r w:rsidR="000B1412">
        <w:rPr>
          <w:rStyle w:val="DZBesediloChar"/>
          <w:noProof/>
        </w:rPr>
        <w:t xml:space="preserve">v okviru </w:t>
      </w:r>
      <w:r w:rsidR="000B1412" w:rsidRPr="003D6DE9">
        <w:rPr>
          <w:noProof/>
        </w:rPr>
        <w:t>oddelka H 52</w:t>
      </w:r>
      <w:r w:rsidR="000B1412">
        <w:rPr>
          <w:noProof/>
        </w:rPr>
        <w:t xml:space="preserve"> uvrščamo </w:t>
      </w:r>
      <w:r w:rsidR="000B1412" w:rsidRPr="008137B9">
        <w:rPr>
          <w:rStyle w:val="DZBesediloChar"/>
          <w:noProof/>
        </w:rPr>
        <w:t>spremljajoč</w:t>
      </w:r>
      <w:r w:rsidR="000B1412">
        <w:rPr>
          <w:rStyle w:val="DZBesediloChar"/>
          <w:noProof/>
        </w:rPr>
        <w:t>e</w:t>
      </w:r>
      <w:r w:rsidR="000B1412" w:rsidRPr="008137B9">
        <w:rPr>
          <w:rStyle w:val="DZBesediloChar"/>
          <w:noProof/>
        </w:rPr>
        <w:t xml:space="preserve"> storitven</w:t>
      </w:r>
      <w:r w:rsidR="000B1412">
        <w:rPr>
          <w:rStyle w:val="DZBesediloChar"/>
          <w:noProof/>
        </w:rPr>
        <w:t>e</w:t>
      </w:r>
      <w:r w:rsidR="000B1412" w:rsidRPr="008137B9">
        <w:rPr>
          <w:rStyle w:val="DZBesediloChar"/>
          <w:noProof/>
        </w:rPr>
        <w:t xml:space="preserve"> dejavnosti v zračnem prometu</w:t>
      </w:r>
      <w:r w:rsidR="00FA623B">
        <w:rPr>
          <w:rStyle w:val="DZBesediloChar"/>
          <w:noProof/>
        </w:rPr>
        <w:t xml:space="preserve">. Te so v </w:t>
      </w:r>
      <w:r w:rsidR="00E20387">
        <w:rPr>
          <w:rStyle w:val="DZBesediloChar"/>
          <w:noProof/>
        </w:rPr>
        <w:t>celotnem</w:t>
      </w:r>
      <w:r w:rsidR="00FA623B">
        <w:rPr>
          <w:rStyle w:val="DZBesediloChar"/>
          <w:noProof/>
        </w:rPr>
        <w:t xml:space="preserve"> obravnavanem obdobju od leta 2008 naprej poslovale z relativno nizkim, a konstantnim dobičkom med 5 in 15 mio EUR, vse do leta 2020, ko so zdrsnile v izgubo.</w:t>
      </w:r>
      <w:r w:rsidR="000B1412">
        <w:rPr>
          <w:rStyle w:val="DZBesediloChar"/>
          <w:noProof/>
        </w:rPr>
        <w:t xml:space="preserve"> </w:t>
      </w:r>
      <w:r w:rsidR="00FA623B">
        <w:rPr>
          <w:rStyle w:val="DZBesediloChar"/>
          <w:noProof/>
        </w:rPr>
        <w:t>P</w:t>
      </w:r>
      <w:r w:rsidRPr="006771D0">
        <w:rPr>
          <w:rStyle w:val="DZBesediloChar"/>
          <w:noProof/>
          <w:spacing w:val="-6"/>
        </w:rPr>
        <w:t xml:space="preserve">oslabšanje poslovanja </w:t>
      </w:r>
      <w:r w:rsidR="00FA623B">
        <w:rPr>
          <w:rStyle w:val="DZBesediloChar"/>
          <w:noProof/>
          <w:spacing w:val="-6"/>
        </w:rPr>
        <w:t xml:space="preserve">je bilo </w:t>
      </w:r>
      <w:r w:rsidRPr="006771D0">
        <w:rPr>
          <w:rStyle w:val="DZBesediloChar"/>
          <w:noProof/>
          <w:spacing w:val="-6"/>
        </w:rPr>
        <w:t xml:space="preserve">povezano predvsem z omejitvami javnega potniškega prometa </w:t>
      </w:r>
      <w:r w:rsidR="00D457F0">
        <w:rPr>
          <w:rStyle w:val="DZBesediloChar"/>
          <w:noProof/>
          <w:spacing w:val="-6"/>
        </w:rPr>
        <w:t>med</w:t>
      </w:r>
      <w:r w:rsidRPr="006771D0">
        <w:rPr>
          <w:rStyle w:val="DZBesediloChar"/>
          <w:noProof/>
          <w:spacing w:val="-6"/>
        </w:rPr>
        <w:t xml:space="preserve"> epidemij</w:t>
      </w:r>
      <w:r w:rsidR="00D457F0">
        <w:rPr>
          <w:rStyle w:val="DZBesediloChar"/>
          <w:noProof/>
          <w:spacing w:val="-6"/>
        </w:rPr>
        <w:t>o</w:t>
      </w:r>
      <w:r w:rsidRPr="006771D0">
        <w:rPr>
          <w:rStyle w:val="DZBesediloChar"/>
          <w:noProof/>
          <w:spacing w:val="-6"/>
        </w:rPr>
        <w:t xml:space="preserve"> v </w:t>
      </w:r>
      <w:r w:rsidRPr="00FE411B">
        <w:rPr>
          <w:rStyle w:val="DZBesediloChar"/>
          <w:noProof/>
          <w:spacing w:val="-6"/>
        </w:rPr>
        <w:t>zračnem in</w:t>
      </w:r>
      <w:r w:rsidRPr="00FE411B">
        <w:rPr>
          <w:rStyle w:val="DZBesediloChar"/>
          <w:noProof/>
        </w:rPr>
        <w:t xml:space="preserve"> </w:t>
      </w:r>
      <w:r w:rsidRPr="00FE411B">
        <w:rPr>
          <w:rStyle w:val="DZBesediloChar"/>
          <w:noProof/>
          <w:spacing w:val="-6"/>
        </w:rPr>
        <w:t>letališkem</w:t>
      </w:r>
      <w:r w:rsidRPr="006771D0">
        <w:rPr>
          <w:rStyle w:val="DZBesediloChar"/>
          <w:noProof/>
          <w:spacing w:val="-6"/>
        </w:rPr>
        <w:t xml:space="preserve"> </w:t>
      </w:r>
      <w:r w:rsidRPr="005D6A10">
        <w:rPr>
          <w:rStyle w:val="DZBesediloChar"/>
          <w:noProof/>
          <w:spacing w:val="-6"/>
        </w:rPr>
        <w:t>prometu.</w:t>
      </w:r>
      <w:r w:rsidR="001C45CE" w:rsidRPr="008C560E">
        <w:t xml:space="preserve"> </w:t>
      </w:r>
      <w:r w:rsidR="008C560E" w:rsidRPr="008C560E">
        <w:t xml:space="preserve">V </w:t>
      </w:r>
      <w:r w:rsidR="005D6A10">
        <w:t>nadaljnjih letih</w:t>
      </w:r>
      <w:r w:rsidR="00002725">
        <w:t xml:space="preserve"> se je s sproščanjem omejitev </w:t>
      </w:r>
      <w:r w:rsidR="005D6A10">
        <w:t>poslovni rezultat izboljševal in leta 2023 je bil neto čisti dobiček s 14 mio EUR spet na ravni iz leta 2019.</w:t>
      </w:r>
      <w:r w:rsidR="008E4203">
        <w:rPr>
          <w:rStyle w:val="DZBesediloChar"/>
          <w:noProof/>
          <w:spacing w:val="-6"/>
        </w:rPr>
        <w:t xml:space="preserve"> </w:t>
      </w:r>
    </w:p>
    <w:p w14:paraId="572BB0AF" w14:textId="77777777" w:rsidR="001C45CE" w:rsidRPr="001C45CE" w:rsidRDefault="001C45CE" w:rsidP="001C45CE">
      <w:pPr>
        <w:pStyle w:val="BesediloUMAR"/>
        <w:rPr>
          <w:b/>
        </w:rPr>
      </w:pPr>
    </w:p>
    <w:p w14:paraId="42260AAE" w14:textId="79CE0771" w:rsidR="001C45CE" w:rsidRPr="007374DA" w:rsidRDefault="00E06C1C" w:rsidP="001C45CE">
      <w:pPr>
        <w:pStyle w:val="BesediloUMAR"/>
      </w:pPr>
      <w:bookmarkStart w:id="43" w:name="_Hlk138080032"/>
      <w:r w:rsidRPr="00674988">
        <w:rPr>
          <w:rStyle w:val="DZVodilnistavekChar"/>
          <w:noProof/>
        </w:rPr>
        <w:t>Poštna in kurirska dejavnost</w:t>
      </w:r>
      <w:r w:rsidRPr="008137B9">
        <w:rPr>
          <w:rStyle w:val="DZVodilnistavekChar"/>
          <w:noProof/>
        </w:rPr>
        <w:t xml:space="preserve"> (oddelek H 53) </w:t>
      </w:r>
      <w:bookmarkEnd w:id="43"/>
      <w:r w:rsidRPr="008137B9">
        <w:rPr>
          <w:rStyle w:val="DZVodilnistavekChar"/>
          <w:noProof/>
        </w:rPr>
        <w:t>je</w:t>
      </w:r>
      <w:r w:rsidR="00D457F0">
        <w:rPr>
          <w:rStyle w:val="DZVodilnistavekChar"/>
          <w:noProof/>
        </w:rPr>
        <w:t xml:space="preserve"> v analiziranem obdobju večinoma</w:t>
      </w:r>
      <w:r w:rsidRPr="008137B9">
        <w:rPr>
          <w:rStyle w:val="DZVodilnistavekChar"/>
          <w:noProof/>
        </w:rPr>
        <w:t xml:space="preserve"> poslovala stabilno </w:t>
      </w:r>
      <w:r w:rsidR="00CB49E1">
        <w:rPr>
          <w:rStyle w:val="DZVodilnistavekChar"/>
          <w:noProof/>
        </w:rPr>
        <w:t>z relativno</w:t>
      </w:r>
      <w:r w:rsidRPr="008137B9">
        <w:rPr>
          <w:rStyle w:val="DZVodilnistavekChar"/>
          <w:noProof/>
        </w:rPr>
        <w:t xml:space="preserve"> solidnim dobičkom</w:t>
      </w:r>
      <w:r w:rsidR="00D457F0">
        <w:rPr>
          <w:rStyle w:val="DZVodilnistavekChar"/>
          <w:noProof/>
        </w:rPr>
        <w:t>, k</w:t>
      </w:r>
      <w:r w:rsidR="00C1310F">
        <w:rPr>
          <w:rStyle w:val="DZVodilnistavekChar"/>
          <w:noProof/>
        </w:rPr>
        <w:t xml:space="preserve">i pa se je v letu 2023 vendarle še </w:t>
      </w:r>
      <w:r w:rsidR="00244B48">
        <w:rPr>
          <w:rStyle w:val="DZVodilnistavekChar"/>
          <w:noProof/>
        </w:rPr>
        <w:t xml:space="preserve">nekoliko </w:t>
      </w:r>
      <w:r w:rsidR="00C1310F">
        <w:rPr>
          <w:rStyle w:val="DZVodilnistavekChar"/>
          <w:noProof/>
        </w:rPr>
        <w:t>zmanjšal</w:t>
      </w:r>
      <w:r w:rsidR="00D457F0">
        <w:rPr>
          <w:rStyle w:val="DZVodilnistavekChar"/>
          <w:noProof/>
        </w:rPr>
        <w:t>.</w:t>
      </w:r>
      <w:r w:rsidRPr="008137B9">
        <w:rPr>
          <w:rStyle w:val="DZBesediloChar"/>
          <w:noProof/>
        </w:rPr>
        <w:t xml:space="preserve"> </w:t>
      </w:r>
      <w:r w:rsidR="00D457F0">
        <w:rPr>
          <w:rStyle w:val="DZBesediloChar"/>
          <w:noProof/>
        </w:rPr>
        <w:t>Izjema od pozitivnega poslovanja je bilo leto 2013, ko je n</w:t>
      </w:r>
      <w:r w:rsidRPr="008137B9">
        <w:rPr>
          <w:rStyle w:val="DZBesediloChar"/>
          <w:noProof/>
        </w:rPr>
        <w:t xml:space="preserve">eto čista izguba poštne in kurirske dejavnosti znašala 15 mio EUR </w:t>
      </w:r>
      <w:r w:rsidR="00D326BA">
        <w:rPr>
          <w:rStyle w:val="DZBesediloChar"/>
          <w:noProof/>
        </w:rPr>
        <w:t>ter</w:t>
      </w:r>
      <w:r w:rsidRPr="008137B9">
        <w:rPr>
          <w:rStyle w:val="DZBesediloChar"/>
          <w:noProof/>
        </w:rPr>
        <w:t xml:space="preserve"> je bila predvsem posledica oslabitev in </w:t>
      </w:r>
      <w:r w:rsidRPr="007374DA">
        <w:rPr>
          <w:rStyle w:val="DZBesediloChar"/>
          <w:noProof/>
        </w:rPr>
        <w:t>odpisov finančnih naložb</w:t>
      </w:r>
      <w:r w:rsidR="00DC5FB8" w:rsidRPr="007374DA">
        <w:rPr>
          <w:rStyle w:val="DZBesediloChar"/>
          <w:noProof/>
        </w:rPr>
        <w:t xml:space="preserve"> (</w:t>
      </w:r>
      <w:r w:rsidR="00D457F0" w:rsidRPr="007374DA">
        <w:rPr>
          <w:rStyle w:val="DZBesediloChar"/>
          <w:noProof/>
        </w:rPr>
        <w:t xml:space="preserve">v povezavi z </w:t>
      </w:r>
      <w:r w:rsidR="00F826C9" w:rsidRPr="007374DA">
        <w:rPr>
          <w:rStyle w:val="DZBesediloChar"/>
          <w:noProof/>
        </w:rPr>
        <w:t xml:space="preserve">nakupi </w:t>
      </w:r>
      <w:r w:rsidR="00DC5FB8" w:rsidRPr="007374DA">
        <w:rPr>
          <w:rStyle w:val="DZBesediloChar"/>
          <w:noProof/>
        </w:rPr>
        <w:t>delnic NKBM)</w:t>
      </w:r>
      <w:r w:rsidRPr="007374DA">
        <w:rPr>
          <w:rStyle w:val="DZBesediloChar"/>
          <w:noProof/>
        </w:rPr>
        <w:t xml:space="preserve">. Pozitivni končni poslovni rezultat je </w:t>
      </w:r>
      <w:r w:rsidR="00D457F0" w:rsidRPr="007374DA">
        <w:rPr>
          <w:rStyle w:val="DZBesediloChar"/>
          <w:noProof/>
        </w:rPr>
        <w:t>v naslednjih</w:t>
      </w:r>
      <w:r w:rsidRPr="007374DA">
        <w:rPr>
          <w:rStyle w:val="DZBesediloChar"/>
          <w:noProof/>
        </w:rPr>
        <w:t xml:space="preserve"> let</w:t>
      </w:r>
      <w:r w:rsidR="00D457F0" w:rsidRPr="007374DA">
        <w:rPr>
          <w:rStyle w:val="DZBesediloChar"/>
          <w:noProof/>
        </w:rPr>
        <w:t>ih</w:t>
      </w:r>
      <w:r w:rsidRPr="007374DA">
        <w:rPr>
          <w:rStyle w:val="DZBesediloChar"/>
          <w:noProof/>
        </w:rPr>
        <w:t xml:space="preserve"> le malo odstopal od 10 mio EUR</w:t>
      </w:r>
      <w:r w:rsidR="00E75213" w:rsidRPr="007374DA">
        <w:rPr>
          <w:rStyle w:val="DZBesediloChar"/>
          <w:noProof/>
        </w:rPr>
        <w:t>. Tako je</w:t>
      </w:r>
      <w:r w:rsidRPr="007374DA">
        <w:rPr>
          <w:rStyle w:val="DZBesediloChar"/>
          <w:noProof/>
        </w:rPr>
        <w:t xml:space="preserve"> v letu 2020</w:t>
      </w:r>
      <w:r w:rsidR="005800E8" w:rsidRPr="007374DA">
        <w:rPr>
          <w:rStyle w:val="DZBesediloChar"/>
          <w:noProof/>
        </w:rPr>
        <w:t xml:space="preserve"> </w:t>
      </w:r>
      <w:r w:rsidRPr="007374DA">
        <w:rPr>
          <w:rStyle w:val="DZBesediloChar"/>
          <w:noProof/>
        </w:rPr>
        <w:t>dosegel 9 mio EUR</w:t>
      </w:r>
      <w:r w:rsidR="00E75213" w:rsidRPr="007374DA">
        <w:rPr>
          <w:rStyle w:val="DZBesediloChar"/>
          <w:noProof/>
        </w:rPr>
        <w:t>,</w:t>
      </w:r>
      <w:r w:rsidR="005800E8" w:rsidRPr="007374DA">
        <w:rPr>
          <w:rStyle w:val="DZBesediloChar"/>
          <w:noProof/>
        </w:rPr>
        <w:t xml:space="preserve"> se </w:t>
      </w:r>
      <w:r w:rsidR="00E75213" w:rsidRPr="007374DA">
        <w:rPr>
          <w:rStyle w:val="DZBesediloChar"/>
          <w:noProof/>
        </w:rPr>
        <w:t>v letu 2021</w:t>
      </w:r>
      <w:r w:rsidR="007101D7" w:rsidRPr="007374DA">
        <w:rPr>
          <w:rStyle w:val="DZBesediloChar"/>
          <w:noProof/>
        </w:rPr>
        <w:t xml:space="preserve"> </w:t>
      </w:r>
      <w:r w:rsidR="005800E8" w:rsidRPr="007374DA">
        <w:rPr>
          <w:rStyle w:val="DZBesediloChar"/>
          <w:noProof/>
        </w:rPr>
        <w:t xml:space="preserve">povzpel </w:t>
      </w:r>
      <w:r w:rsidR="00D457F0" w:rsidRPr="007374DA">
        <w:rPr>
          <w:rStyle w:val="DZBesediloChar"/>
          <w:noProof/>
        </w:rPr>
        <w:t xml:space="preserve">na </w:t>
      </w:r>
      <w:r w:rsidR="005800E8" w:rsidRPr="007374DA">
        <w:rPr>
          <w:rStyle w:val="DZBesediloChar"/>
          <w:noProof/>
        </w:rPr>
        <w:t>prek 16 mio EUR</w:t>
      </w:r>
      <w:r w:rsidR="00E75213" w:rsidRPr="007374DA">
        <w:rPr>
          <w:rStyle w:val="DZBesediloChar"/>
          <w:noProof/>
        </w:rPr>
        <w:t>, v let</w:t>
      </w:r>
      <w:r w:rsidR="00C1310F" w:rsidRPr="007374DA">
        <w:rPr>
          <w:rStyle w:val="DZBesediloChar"/>
          <w:noProof/>
        </w:rPr>
        <w:t>ih</w:t>
      </w:r>
      <w:r w:rsidR="00E75213" w:rsidRPr="007374DA">
        <w:rPr>
          <w:rStyle w:val="DZBesediloChar"/>
          <w:noProof/>
        </w:rPr>
        <w:t xml:space="preserve"> 2022 </w:t>
      </w:r>
      <w:r w:rsidR="00C1310F" w:rsidRPr="007374DA">
        <w:rPr>
          <w:rStyle w:val="DZBesediloChar"/>
          <w:noProof/>
        </w:rPr>
        <w:t xml:space="preserve">in 2023 </w:t>
      </w:r>
      <w:r w:rsidR="00E75213" w:rsidRPr="007374DA">
        <w:rPr>
          <w:rStyle w:val="DZBesediloChar"/>
          <w:noProof/>
        </w:rPr>
        <w:t>pa se je nekoliko poslabšal</w:t>
      </w:r>
      <w:r w:rsidR="00C1310F" w:rsidRPr="007374DA">
        <w:rPr>
          <w:rStyle w:val="DZBesediloChar"/>
          <w:noProof/>
        </w:rPr>
        <w:t>, najprej</w:t>
      </w:r>
      <w:r w:rsidR="00E75213" w:rsidRPr="007374DA">
        <w:rPr>
          <w:rStyle w:val="DZBesediloChar"/>
          <w:noProof/>
        </w:rPr>
        <w:t xml:space="preserve"> na 9 mio EUR</w:t>
      </w:r>
      <w:r w:rsidR="00C1310F" w:rsidRPr="007374DA">
        <w:rPr>
          <w:rStyle w:val="DZBesediloChar"/>
          <w:noProof/>
        </w:rPr>
        <w:t xml:space="preserve"> in potem na le 5 mio EUR</w:t>
      </w:r>
      <w:r w:rsidRPr="007374DA">
        <w:rPr>
          <w:rStyle w:val="DZBesediloChar"/>
          <w:noProof/>
        </w:rPr>
        <w:t xml:space="preserve">. Medtem ko je v prejšnjih letih v okviru oddelka H 53 večino dobička ustvarila dejavnost izvajanja univerzalnih poštnih </w:t>
      </w:r>
      <w:r w:rsidRPr="0023097E">
        <w:rPr>
          <w:rStyle w:val="DZBesediloChar"/>
          <w:noProof/>
        </w:rPr>
        <w:t>storitev (</w:t>
      </w:r>
      <w:r w:rsidR="005800E8" w:rsidRPr="0023097E">
        <w:rPr>
          <w:rStyle w:val="DZBesediloChar"/>
          <w:noProof/>
        </w:rPr>
        <w:t>s</w:t>
      </w:r>
      <w:r w:rsidRPr="0023097E">
        <w:rPr>
          <w:rStyle w:val="DZBesediloChar"/>
          <w:noProof/>
        </w:rPr>
        <w:t xml:space="preserve"> Pošt</w:t>
      </w:r>
      <w:r w:rsidR="005800E8" w:rsidRPr="0023097E">
        <w:rPr>
          <w:rStyle w:val="DZBesediloChar"/>
          <w:noProof/>
        </w:rPr>
        <w:t>o</w:t>
      </w:r>
      <w:r w:rsidRPr="0023097E">
        <w:rPr>
          <w:rStyle w:val="DZBesediloChar"/>
          <w:noProof/>
        </w:rPr>
        <w:t xml:space="preserve"> Slovenije), ga zdaj vse več ustvarijo v tako imenovani drugi poštni in kurirski dejavnosti</w:t>
      </w:r>
      <w:r w:rsidR="005800E8" w:rsidRPr="0023097E">
        <w:rPr>
          <w:rStyle w:val="DZBesediloChar"/>
          <w:noProof/>
        </w:rPr>
        <w:t>, kjer gre zlasti za</w:t>
      </w:r>
      <w:r w:rsidRPr="0023097E">
        <w:rPr>
          <w:rStyle w:val="DZBesediloChar"/>
          <w:noProof/>
        </w:rPr>
        <w:t xml:space="preserve"> </w:t>
      </w:r>
      <w:r w:rsidR="005800E8" w:rsidRPr="0023097E">
        <w:rPr>
          <w:rStyle w:val="DZBesediloChar"/>
          <w:noProof/>
        </w:rPr>
        <w:t>slovenske izpostave</w:t>
      </w:r>
      <w:r w:rsidR="00963100" w:rsidRPr="007374DA">
        <w:rPr>
          <w:rStyle w:val="DZBesediloChar"/>
          <w:noProof/>
        </w:rPr>
        <w:t xml:space="preserve"> nekaj velikih mednarodnih podjetij, ki opravljajo dejavnost dostavljanja paketov (GLS, DPD, UPS</w:t>
      </w:r>
      <w:r w:rsidR="00D7002D">
        <w:rPr>
          <w:rStyle w:val="DZBesediloChar"/>
          <w:noProof/>
        </w:rPr>
        <w:t xml:space="preserve"> </w:t>
      </w:r>
      <w:r w:rsidR="00963100" w:rsidRPr="007374DA">
        <w:rPr>
          <w:rStyle w:val="DZBesediloChar"/>
          <w:noProof/>
        </w:rPr>
        <w:t xml:space="preserve">…). </w:t>
      </w:r>
      <w:r w:rsidR="00FB6EB3" w:rsidRPr="007374DA">
        <w:rPr>
          <w:rStyle w:val="DZBesediloChar"/>
          <w:noProof/>
        </w:rPr>
        <w:t>Druga poštna in kurirska dejavnost je</w:t>
      </w:r>
      <w:r w:rsidR="00963100" w:rsidRPr="007374DA">
        <w:rPr>
          <w:rStyle w:val="DZBesediloChar"/>
          <w:noProof/>
        </w:rPr>
        <w:t xml:space="preserve"> bil</w:t>
      </w:r>
      <w:r w:rsidR="00FB6EB3" w:rsidRPr="007374DA">
        <w:rPr>
          <w:rStyle w:val="DZBesediloChar"/>
          <w:noProof/>
        </w:rPr>
        <w:t>a</w:t>
      </w:r>
      <w:r w:rsidR="00963100" w:rsidRPr="007374DA">
        <w:rPr>
          <w:rStyle w:val="DZBesediloChar"/>
          <w:noProof/>
        </w:rPr>
        <w:t xml:space="preserve"> v</w:t>
      </w:r>
      <w:r w:rsidRPr="007374DA">
        <w:rPr>
          <w:rStyle w:val="DZBesediloChar"/>
          <w:noProof/>
        </w:rPr>
        <w:t xml:space="preserve"> </w:t>
      </w:r>
      <w:r w:rsidR="0088387A" w:rsidRPr="007374DA">
        <w:rPr>
          <w:rStyle w:val="DZBesediloChar"/>
          <w:noProof/>
        </w:rPr>
        <w:t xml:space="preserve">epidemijskem </w:t>
      </w:r>
      <w:r w:rsidRPr="007374DA">
        <w:rPr>
          <w:rStyle w:val="DZBesediloChar"/>
          <w:noProof/>
        </w:rPr>
        <w:t xml:space="preserve">letu 2020 </w:t>
      </w:r>
      <w:r w:rsidR="00963100" w:rsidRPr="007374DA">
        <w:rPr>
          <w:rStyle w:val="DZBesediloChar"/>
          <w:noProof/>
        </w:rPr>
        <w:t>po skupnem neto čistem dobičku uspešnejš</w:t>
      </w:r>
      <w:r w:rsidR="00FB6EB3" w:rsidRPr="007374DA">
        <w:rPr>
          <w:rStyle w:val="DZBesediloChar"/>
          <w:noProof/>
        </w:rPr>
        <w:t>a</w:t>
      </w:r>
      <w:r w:rsidR="00963100" w:rsidRPr="007374DA">
        <w:rPr>
          <w:rStyle w:val="DZBesediloChar"/>
          <w:noProof/>
        </w:rPr>
        <w:t xml:space="preserve"> od </w:t>
      </w:r>
      <w:r w:rsidR="00FB6EB3" w:rsidRPr="007374DA">
        <w:rPr>
          <w:rStyle w:val="DZBesediloChar"/>
          <w:noProof/>
        </w:rPr>
        <w:t>dejavnosti izvajanja univerzalne poštne storitve</w:t>
      </w:r>
      <w:r w:rsidR="00963100" w:rsidRPr="007374DA">
        <w:rPr>
          <w:rStyle w:val="DZBesediloChar"/>
          <w:noProof/>
        </w:rPr>
        <w:t xml:space="preserve">, </w:t>
      </w:r>
      <w:r w:rsidR="00C1310F" w:rsidRPr="007374DA">
        <w:rPr>
          <w:rStyle w:val="DZBesediloChar"/>
          <w:noProof/>
        </w:rPr>
        <w:t xml:space="preserve">podobno pa je bilo </w:t>
      </w:r>
      <w:r w:rsidR="00F826C9" w:rsidRPr="007374DA">
        <w:rPr>
          <w:rStyle w:val="DZBesediloChar"/>
          <w:noProof/>
        </w:rPr>
        <w:t xml:space="preserve">ob zmanjšanju dobička v obeh dejavnostih </w:t>
      </w:r>
      <w:r w:rsidR="00C1310F" w:rsidRPr="007374DA">
        <w:rPr>
          <w:rStyle w:val="DZBesediloChar"/>
          <w:noProof/>
        </w:rPr>
        <w:t>tudi v letu 2023.</w:t>
      </w:r>
    </w:p>
    <w:p w14:paraId="48749EA3" w14:textId="6D47320E" w:rsidR="00CE2BF4" w:rsidRDefault="00CE2BF4" w:rsidP="00CE2BF4">
      <w:pPr>
        <w:pStyle w:val="Napis"/>
        <w:rPr>
          <w:rStyle w:val="DZBesediloChar"/>
          <w:szCs w:val="20"/>
        </w:rPr>
      </w:pPr>
      <w:r w:rsidRPr="007374DA">
        <w:lastRenderedPageBreak/>
        <w:t xml:space="preserve">Slika </w:t>
      </w:r>
      <w:r w:rsidRPr="007374DA">
        <w:fldChar w:fldCharType="begin"/>
      </w:r>
      <w:r w:rsidRPr="007374DA">
        <w:instrText xml:space="preserve"> SEQ Slika \* ARABIC </w:instrText>
      </w:r>
      <w:r w:rsidRPr="007374DA">
        <w:fldChar w:fldCharType="separate"/>
      </w:r>
      <w:r w:rsidR="00B002B7" w:rsidRPr="007374DA">
        <w:t>9</w:t>
      </w:r>
      <w:r w:rsidRPr="007374DA">
        <w:fldChar w:fldCharType="end"/>
      </w:r>
      <w:r w:rsidRPr="007374DA">
        <w:rPr>
          <w:rStyle w:val="DZBesediloChar"/>
          <w:szCs w:val="20"/>
        </w:rPr>
        <w:t xml:space="preserve">: </w:t>
      </w:r>
      <w:r w:rsidR="00F826C9" w:rsidRPr="007374DA">
        <w:t>Dejavnost izvajanja univerzalne poštne storitve</w:t>
      </w:r>
      <w:r w:rsidR="00BA3727" w:rsidRPr="007374DA">
        <w:t xml:space="preserve"> z več tisoč zaposlenimi, mrežo poslovalnic in visoko dodano vrednostjo ohranja primat v poštni dejavnosti, vse uspešnejš</w:t>
      </w:r>
      <w:r w:rsidR="00F826C9" w:rsidRPr="007374DA">
        <w:t>a</w:t>
      </w:r>
      <w:r w:rsidR="006046F0" w:rsidRPr="007374DA">
        <w:t xml:space="preserve"> postaja</w:t>
      </w:r>
      <w:r w:rsidR="00BA3727" w:rsidRPr="007374DA">
        <w:t xml:space="preserve"> </w:t>
      </w:r>
      <w:r w:rsidR="00B64297" w:rsidRPr="007374DA">
        <w:t xml:space="preserve">tudi </w:t>
      </w:r>
      <w:r w:rsidR="00F826C9" w:rsidRPr="007374DA">
        <w:t>druga poštna in kurirska dejavnost</w:t>
      </w:r>
    </w:p>
    <w:p w14:paraId="3CF69C7F" w14:textId="72A22094" w:rsidR="001C45CE" w:rsidRPr="001C45CE" w:rsidRDefault="00CB49E1" w:rsidP="001C45CE">
      <w:pPr>
        <w:pStyle w:val="BesediloUMAR"/>
      </w:pPr>
      <w:r w:rsidRPr="00CB49E1">
        <w:rPr>
          <w:noProof/>
        </w:rPr>
        <w:drawing>
          <wp:inline distT="0" distB="0" distL="0" distR="0" wp14:anchorId="07543597" wp14:editId="121499A4">
            <wp:extent cx="5759450" cy="2377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71D">
        <w:t xml:space="preserve">      </w:t>
      </w:r>
    </w:p>
    <w:p w14:paraId="5BDE8056" w14:textId="19F23362" w:rsidR="002F0A04" w:rsidRDefault="002F0A04" w:rsidP="002F0A04">
      <w:pPr>
        <w:pStyle w:val="VirUMAR"/>
      </w:pPr>
      <w:r w:rsidRPr="008F6BED">
        <w:t xml:space="preserve">Vir podatkov: </w:t>
      </w:r>
      <w:r>
        <w:fldChar w:fldCharType="begin"/>
      </w:r>
      <w:r w:rsidR="007309C9">
        <w:instrText xml:space="preserve"> ADDIN ZOTERO_ITEM CSL_CITATION {"citationID":"Cko24JIb","properties":{"formattedCitation":"(AJPES, 2022)","plainCitation":"(AJPES, 2022)","dontUpdate":true,"noteIndex":0},"citationItems":[{"id":1801,"uris":["http://zotero.org/users/8372339/items/IC2SCV5C"],"uri":["http://zotero.org/users/8372339/items/IC2SCV5C"],"itemData":{"id":1801,"type":"report","event-place":"Ljubljana","publisher":"Agencija Republike Slovenije za javnopravne evidence in storitve","publisher-place":"Ljubljana","title":"Statistični podatki iz bilance stanja in izkaza poslovnega izida za gospodarske družbe in samostojne podjetnike","author":[{"family":"AJPES","given":""}],"issued":{"date-parts":[["2022"]]}}}],"schema":"https://github.com/citation-style-language/schema/raw/master/csl-citation.json"} </w:instrText>
      </w:r>
      <w:r>
        <w:fldChar w:fldCharType="separate"/>
      </w:r>
      <w:r w:rsidRPr="00B3524B">
        <w:t xml:space="preserve">AJPES </w:t>
      </w:r>
      <w:r>
        <w:t>(</w:t>
      </w:r>
      <w:r w:rsidRPr="00B3524B">
        <w:t>202</w:t>
      </w:r>
      <w:r w:rsidR="005B15B0">
        <w:t>4</w:t>
      </w:r>
      <w:r w:rsidRPr="00B3524B">
        <w:t>)</w:t>
      </w:r>
      <w:r>
        <w:fldChar w:fldCharType="end"/>
      </w:r>
      <w:r w:rsidRPr="008F6BED">
        <w:t>, lastni izračuni.</w:t>
      </w:r>
    </w:p>
    <w:p w14:paraId="2FDA5010" w14:textId="77777777" w:rsidR="008F6BED" w:rsidRDefault="008F6BED" w:rsidP="008F6BED">
      <w:pPr>
        <w:pStyle w:val="Naslov1"/>
      </w:pPr>
      <w:bookmarkStart w:id="44" w:name="_Toc168909547"/>
      <w:bookmarkEnd w:id="38"/>
      <w:r>
        <w:lastRenderedPageBreak/>
        <w:t>Zaključek</w:t>
      </w:r>
      <w:bookmarkEnd w:id="44"/>
      <w:r>
        <w:t xml:space="preserve"> </w:t>
      </w:r>
    </w:p>
    <w:p w14:paraId="672ADDD7" w14:textId="77777777" w:rsidR="00C021F4" w:rsidRDefault="00C021F4" w:rsidP="00C021F4">
      <w:pPr>
        <w:pStyle w:val="BesediloUMAR"/>
      </w:pPr>
      <w:bookmarkStart w:id="45" w:name="_Hlk109127228"/>
    </w:p>
    <w:p w14:paraId="7F552C4C" w14:textId="77777777" w:rsidR="00CE667F" w:rsidRDefault="004F2D70" w:rsidP="003A2AD6">
      <w:pPr>
        <w:pStyle w:val="BesediloUMAR"/>
      </w:pPr>
      <w:r w:rsidRPr="003E59E0">
        <w:t xml:space="preserve">Gospodarske družbe </w:t>
      </w:r>
      <w:r w:rsidR="00287871">
        <w:t>prometa in skladiščenja</w:t>
      </w:r>
      <w:r w:rsidR="00B97872">
        <w:t xml:space="preserve"> se po ustvarjeni dodani vrednosti med vsemi družbami v gospodarstvu uvrščajo na tretje mesto, takoj za predelovalnimi in trgovinskimi družbami. Zelo uspešno poslovanje z </w:t>
      </w:r>
      <w:r w:rsidR="00850997">
        <w:t xml:space="preserve">večletnim </w:t>
      </w:r>
      <w:r w:rsidR="00B97872">
        <w:t>visoki</w:t>
      </w:r>
      <w:r w:rsidR="00850997">
        <w:t>m dobičkom so prekinili zajezitveni ukrepi</w:t>
      </w:r>
      <w:r w:rsidR="00C15A09">
        <w:t xml:space="preserve"> </w:t>
      </w:r>
      <w:r w:rsidR="005C6C33">
        <w:t>i</w:t>
      </w:r>
      <w:r w:rsidR="00C15A09">
        <w:t xml:space="preserve">z obdobja </w:t>
      </w:r>
      <w:r w:rsidR="00850997">
        <w:t>epidemij</w:t>
      </w:r>
      <w:r w:rsidR="00C15A09">
        <w:t>e</w:t>
      </w:r>
      <w:r w:rsidR="00850997">
        <w:t xml:space="preserve"> v letu 2020, ki so poslovanje nekaterih prometnih dejavnosti močno omejili, </w:t>
      </w:r>
      <w:r w:rsidR="00212DBF">
        <w:t xml:space="preserve">med njimi </w:t>
      </w:r>
      <w:r w:rsidR="00850997">
        <w:t xml:space="preserve">še posebej avtobusni, železniški in letališki potniški promet. </w:t>
      </w:r>
      <w:r w:rsidR="006827DD">
        <w:t>V tem letu je večina prometnih dejavnosti poslabšala svoje poslovanje</w:t>
      </w:r>
      <w:r w:rsidR="006827DD" w:rsidRPr="006827DD">
        <w:t xml:space="preserve"> </w:t>
      </w:r>
      <w:r w:rsidR="006827DD">
        <w:t xml:space="preserve">in kljub hkratni državni pomoči se je neto čisti dobiček prepolovil. </w:t>
      </w:r>
      <w:r w:rsidR="00875B24">
        <w:t xml:space="preserve">Kljub temu </w:t>
      </w:r>
      <w:r w:rsidR="006827DD">
        <w:t>so večjo izgubo zabeležili le v treh prometnih dejavnostih</w:t>
      </w:r>
      <w:r w:rsidR="00CF49EE">
        <w:t xml:space="preserve"> –</w:t>
      </w:r>
      <w:r w:rsidR="006827DD">
        <w:t xml:space="preserve"> v letališkem prometu, skladiščenju z blagovnimi rezervami in medkrajevnem avtobusnem prometu. Nasprotno pa se je v nekaj dejavnostih </w:t>
      </w:r>
      <w:r w:rsidR="006827DD" w:rsidRPr="002948C4">
        <w:t xml:space="preserve">prometa v </w:t>
      </w:r>
      <w:proofErr w:type="spellStart"/>
      <w:r w:rsidR="006827DD" w:rsidRPr="002948C4">
        <w:t>epidemijskem</w:t>
      </w:r>
      <w:proofErr w:type="spellEnd"/>
      <w:r w:rsidR="006827DD" w:rsidRPr="002948C4">
        <w:t xml:space="preserve"> letu</w:t>
      </w:r>
      <w:r w:rsidR="006827DD">
        <w:t xml:space="preserve"> poslovanje celo izboljšalo, in sicer v cevovodnem transportu, v cestnem tovornem prometu ter na špediciji in pošti.</w:t>
      </w:r>
      <w:r w:rsidR="00806517">
        <w:t xml:space="preserve"> </w:t>
      </w:r>
      <w:r w:rsidR="006827DD">
        <w:t>K</w:t>
      </w:r>
      <w:r w:rsidR="00806517">
        <w:t>er so nekatere omejitve veljale še naslednje leto, se dobiček prometne dejavnosti tudi v 2021 še ni vrni</w:t>
      </w:r>
      <w:r w:rsidR="006046F0">
        <w:t>l</w:t>
      </w:r>
      <w:r w:rsidR="00806517">
        <w:t xml:space="preserve"> na</w:t>
      </w:r>
      <w:r w:rsidRPr="003E59E0">
        <w:t xml:space="preserve"> </w:t>
      </w:r>
      <w:r w:rsidR="00806517">
        <w:t xml:space="preserve">raven pred epidemijo. </w:t>
      </w:r>
      <w:r w:rsidR="006827DD">
        <w:t>V letu 2022</w:t>
      </w:r>
      <w:r w:rsidR="00815F0D">
        <w:t>,</w:t>
      </w:r>
      <w:r w:rsidR="006827DD">
        <w:t xml:space="preserve"> z energetsko krizo in visoko inflacijo</w:t>
      </w:r>
      <w:r w:rsidR="00815F0D">
        <w:t>, pa</w:t>
      </w:r>
      <w:r w:rsidR="006827DD">
        <w:t xml:space="preserve"> je prometnim družbam</w:t>
      </w:r>
      <w:r w:rsidR="00815F0D">
        <w:t>,</w:t>
      </w:r>
      <w:r w:rsidR="006827DD">
        <w:t xml:space="preserve"> ob sicer neugodnem vplivu visokega deleža stroškov energije v poslovnih odhodkih</w:t>
      </w:r>
      <w:r w:rsidR="00815F0D">
        <w:t>, uspelo neto čisti dobiček nadalje močno povečati</w:t>
      </w:r>
      <w:r w:rsidR="00E059F5">
        <w:t>.</w:t>
      </w:r>
      <w:r w:rsidR="00815F0D">
        <w:t xml:space="preserve"> </w:t>
      </w:r>
      <w:r w:rsidR="00E059F5">
        <w:t xml:space="preserve">Njihovo poslovanje je bilo </w:t>
      </w:r>
      <w:r w:rsidR="000A4363">
        <w:t>v letu 2022</w:t>
      </w:r>
      <w:r w:rsidR="00E059F5">
        <w:t xml:space="preserve"> med uspešnejšimi </w:t>
      </w:r>
      <w:r w:rsidR="00E059F5" w:rsidRPr="00CA39BC">
        <w:t>v okviru vseh družb</w:t>
      </w:r>
      <w:r w:rsidR="00E059F5">
        <w:t>, v</w:t>
      </w:r>
      <w:r w:rsidR="00C578D8">
        <w:t xml:space="preserve">seeno pa </w:t>
      </w:r>
      <w:r w:rsidR="000A4363">
        <w:t>p</w:t>
      </w:r>
      <w:r w:rsidR="003A2AD6">
        <w:t>ovečanje</w:t>
      </w:r>
      <w:r w:rsidR="000A4363">
        <w:t xml:space="preserve"> </w:t>
      </w:r>
      <w:r w:rsidR="00E059F5">
        <w:t>dobičk</w:t>
      </w:r>
      <w:r w:rsidR="003A2AD6">
        <w:t>a</w:t>
      </w:r>
      <w:r w:rsidR="00E059F5">
        <w:t xml:space="preserve"> </w:t>
      </w:r>
      <w:r w:rsidR="00B834E6">
        <w:t xml:space="preserve">v primerjavi z letom 2019 </w:t>
      </w:r>
      <w:r w:rsidR="00E059F5">
        <w:t>ni posebej izstopal</w:t>
      </w:r>
      <w:r w:rsidR="003A2AD6">
        <w:t>o</w:t>
      </w:r>
      <w:r w:rsidR="00E059F5">
        <w:t>.</w:t>
      </w:r>
      <w:r w:rsidR="00815F0D">
        <w:t xml:space="preserve"> </w:t>
      </w:r>
      <w:r w:rsidR="00BF6444">
        <w:t xml:space="preserve">V letu 2023 </w:t>
      </w:r>
      <w:r w:rsidR="005B26A6">
        <w:t xml:space="preserve">je </w:t>
      </w:r>
      <w:r w:rsidR="00BF6444">
        <w:t>neto čisti dobiček v prometu in skladiščenju približno zadržal raven iz prejšnjega leta. Spremljajoče storitvene dejavnosti v kopenskem prometu in d</w:t>
      </w:r>
      <w:r w:rsidR="00F46684">
        <w:t>ejavnost cestnega tovornega promet</w:t>
      </w:r>
      <w:r w:rsidR="00F46684" w:rsidRPr="000C6316">
        <w:t xml:space="preserve">a </w:t>
      </w:r>
      <w:r w:rsidR="00C00D53">
        <w:t>so</w:t>
      </w:r>
      <w:r w:rsidR="00BF6444">
        <w:t xml:space="preserve"> s skupaj več kot polovičnim deležem dobička ostal</w:t>
      </w:r>
      <w:r w:rsidR="00C00D53">
        <w:t xml:space="preserve">e </w:t>
      </w:r>
      <w:r w:rsidR="00BF6444">
        <w:t>vodiln</w:t>
      </w:r>
      <w:r w:rsidR="00C00D53">
        <w:t>e</w:t>
      </w:r>
      <w:r w:rsidR="00BF6444">
        <w:t xml:space="preserve"> dejavnosti</w:t>
      </w:r>
      <w:r w:rsidR="003A2AD6">
        <w:t xml:space="preserve">. </w:t>
      </w:r>
      <w:r w:rsidR="003A2AD6" w:rsidRPr="003A2AD6">
        <w:t>Do večjih sprememb v letu 2023 pa je prišlo v dejavnostih pretovarjanja, skladiščenja in na špediciji, kjer se je neto čisti dobiček najbolj zmanjšal, in v avtobusnem ter železniškem potniškem prometu, kjer se je najbolj povečal.</w:t>
      </w:r>
      <w:bookmarkStart w:id="46" w:name="_Hlk109113743"/>
      <w:bookmarkEnd w:id="45"/>
    </w:p>
    <w:p w14:paraId="301CEB9A" w14:textId="77777777" w:rsidR="00CE667F" w:rsidRDefault="00CE667F" w:rsidP="003A2AD6">
      <w:pPr>
        <w:pStyle w:val="BesediloUMAR"/>
      </w:pPr>
    </w:p>
    <w:p w14:paraId="41E789AD" w14:textId="77777777" w:rsidR="00CE667F" w:rsidRDefault="00CE667F" w:rsidP="003A2AD6">
      <w:pPr>
        <w:pStyle w:val="BesediloUMAR"/>
      </w:pPr>
    </w:p>
    <w:p w14:paraId="5FF9E8B6" w14:textId="77777777" w:rsidR="00CE667F" w:rsidRDefault="00CE667F" w:rsidP="003A2AD6">
      <w:pPr>
        <w:pStyle w:val="BesediloUMAR"/>
      </w:pPr>
    </w:p>
    <w:p w14:paraId="7C656A0E" w14:textId="77777777" w:rsidR="00CE667F" w:rsidRDefault="00CE667F" w:rsidP="003A2AD6">
      <w:pPr>
        <w:pStyle w:val="BesediloUMAR"/>
      </w:pPr>
    </w:p>
    <w:p w14:paraId="561C0B07" w14:textId="77777777" w:rsidR="00CE667F" w:rsidRDefault="00CE667F" w:rsidP="003A2AD6">
      <w:pPr>
        <w:pStyle w:val="BesediloUMAR"/>
      </w:pPr>
    </w:p>
    <w:p w14:paraId="7A94D320" w14:textId="77777777" w:rsidR="00CE667F" w:rsidRDefault="00CE667F" w:rsidP="003A2AD6">
      <w:pPr>
        <w:pStyle w:val="BesediloUMAR"/>
      </w:pPr>
    </w:p>
    <w:p w14:paraId="05316454" w14:textId="77777777" w:rsidR="00CE667F" w:rsidRDefault="00CE667F" w:rsidP="003A2AD6">
      <w:pPr>
        <w:pStyle w:val="BesediloUMAR"/>
      </w:pPr>
    </w:p>
    <w:p w14:paraId="22754E38" w14:textId="77777777" w:rsidR="00CE667F" w:rsidRDefault="00CE667F" w:rsidP="003A2AD6">
      <w:pPr>
        <w:pStyle w:val="BesediloUMAR"/>
      </w:pPr>
    </w:p>
    <w:p w14:paraId="3D8242EF" w14:textId="77777777" w:rsidR="00CE667F" w:rsidRDefault="00CE667F" w:rsidP="003A2AD6">
      <w:pPr>
        <w:pStyle w:val="BesediloUMAR"/>
      </w:pPr>
    </w:p>
    <w:p w14:paraId="7396FA52" w14:textId="77777777" w:rsidR="00CE667F" w:rsidRDefault="00CE667F" w:rsidP="003A2AD6">
      <w:pPr>
        <w:pStyle w:val="BesediloUMAR"/>
      </w:pPr>
    </w:p>
    <w:p w14:paraId="5C49180A" w14:textId="77777777" w:rsidR="00CE667F" w:rsidRDefault="00CE667F" w:rsidP="003A2AD6">
      <w:pPr>
        <w:pStyle w:val="BesediloUMAR"/>
      </w:pPr>
    </w:p>
    <w:p w14:paraId="2B8E29B0" w14:textId="77777777" w:rsidR="00CE667F" w:rsidRDefault="00CE667F" w:rsidP="003A2AD6">
      <w:pPr>
        <w:pStyle w:val="BesediloUMAR"/>
      </w:pPr>
    </w:p>
    <w:p w14:paraId="1B4DC5CD" w14:textId="77777777" w:rsidR="00CE667F" w:rsidRDefault="00CE667F" w:rsidP="003A2AD6">
      <w:pPr>
        <w:pStyle w:val="BesediloUMAR"/>
      </w:pPr>
    </w:p>
    <w:p w14:paraId="5D8FB4C1" w14:textId="77777777" w:rsidR="00CE667F" w:rsidRDefault="00CE667F" w:rsidP="003A2AD6">
      <w:pPr>
        <w:pStyle w:val="BesediloUMAR"/>
      </w:pPr>
    </w:p>
    <w:p w14:paraId="7CF62DFA" w14:textId="77777777" w:rsidR="00CE667F" w:rsidRDefault="00CE667F" w:rsidP="003A2AD6">
      <w:pPr>
        <w:pStyle w:val="BesediloUMAR"/>
      </w:pPr>
    </w:p>
    <w:p w14:paraId="69B3576D" w14:textId="77777777" w:rsidR="00CE667F" w:rsidRDefault="00CE667F" w:rsidP="003A2AD6">
      <w:pPr>
        <w:pStyle w:val="BesediloUMAR"/>
      </w:pPr>
    </w:p>
    <w:p w14:paraId="2294002E" w14:textId="77777777" w:rsidR="00CE667F" w:rsidRDefault="00CE667F" w:rsidP="003A2AD6">
      <w:pPr>
        <w:pStyle w:val="BesediloUMAR"/>
      </w:pPr>
    </w:p>
    <w:p w14:paraId="1EF0B394" w14:textId="77777777" w:rsidR="00CE667F" w:rsidRDefault="00CE667F" w:rsidP="003A2AD6">
      <w:pPr>
        <w:pStyle w:val="BesediloUMAR"/>
      </w:pPr>
    </w:p>
    <w:p w14:paraId="1EDE8693" w14:textId="77777777" w:rsidR="00CE667F" w:rsidRDefault="00CE667F" w:rsidP="003A2AD6">
      <w:pPr>
        <w:pStyle w:val="BesediloUMAR"/>
      </w:pPr>
    </w:p>
    <w:p w14:paraId="5AFC76BF" w14:textId="77777777" w:rsidR="00CE667F" w:rsidRDefault="00CE667F" w:rsidP="003A2AD6">
      <w:pPr>
        <w:pStyle w:val="BesediloUMAR"/>
      </w:pPr>
    </w:p>
    <w:p w14:paraId="7EF7B48D" w14:textId="77777777" w:rsidR="00CE667F" w:rsidRDefault="00CE667F" w:rsidP="003A2AD6">
      <w:pPr>
        <w:pStyle w:val="BesediloUMAR"/>
      </w:pPr>
    </w:p>
    <w:p w14:paraId="291886DF" w14:textId="77777777" w:rsidR="00722E9B" w:rsidRDefault="00722E9B" w:rsidP="003A2AD6">
      <w:pPr>
        <w:pStyle w:val="BesediloUMAR"/>
      </w:pPr>
    </w:p>
    <w:p w14:paraId="32C7CE20" w14:textId="77777777" w:rsidR="00CE667F" w:rsidRDefault="00CE667F" w:rsidP="003A2AD6">
      <w:pPr>
        <w:pStyle w:val="BesediloUMAR"/>
      </w:pPr>
    </w:p>
    <w:p w14:paraId="5F66B923" w14:textId="77777777" w:rsidR="00CE667F" w:rsidRDefault="00CE667F" w:rsidP="003A2AD6">
      <w:pPr>
        <w:pStyle w:val="BesediloUMAR"/>
      </w:pPr>
    </w:p>
    <w:p w14:paraId="040C44BC" w14:textId="77777777" w:rsidR="00CE667F" w:rsidRDefault="00CE667F" w:rsidP="003A2AD6">
      <w:pPr>
        <w:pStyle w:val="BesediloUMAR"/>
      </w:pPr>
    </w:p>
    <w:p w14:paraId="5BC068D1" w14:textId="77777777" w:rsidR="00CE667F" w:rsidRDefault="00CE667F" w:rsidP="003A2AD6">
      <w:pPr>
        <w:pStyle w:val="BesediloUMAR"/>
      </w:pPr>
    </w:p>
    <w:p w14:paraId="220CC7A6" w14:textId="02F1D6E1" w:rsidR="001908FD" w:rsidRDefault="001908FD" w:rsidP="00722E9B">
      <w:pPr>
        <w:pStyle w:val="Naslov3"/>
        <w:numPr>
          <w:ilvl w:val="0"/>
          <w:numId w:val="0"/>
        </w:numPr>
      </w:pPr>
      <w:bookmarkStart w:id="47" w:name="_Toc168909548"/>
      <w:r w:rsidRPr="003A2AD6">
        <w:lastRenderedPageBreak/>
        <w:t>Literatura in viri</w:t>
      </w:r>
      <w:bookmarkEnd w:id="47"/>
      <w:r w:rsidR="005A6C05" w:rsidRPr="003A2AD6">
        <w:t xml:space="preserve"> </w:t>
      </w:r>
    </w:p>
    <w:bookmarkEnd w:id="46"/>
    <w:p w14:paraId="728D78EA" w14:textId="77777777" w:rsidR="00C021F4" w:rsidRDefault="00C021F4" w:rsidP="00C021F4">
      <w:pPr>
        <w:pStyle w:val="BesediloUMAR"/>
      </w:pPr>
    </w:p>
    <w:p w14:paraId="307C65FC" w14:textId="40BF505A" w:rsidR="007309C9" w:rsidRPr="007309C9" w:rsidRDefault="007309C9" w:rsidP="00714F84">
      <w:pPr>
        <w:pStyle w:val="Bibliografija"/>
        <w:spacing w:line="288" w:lineRule="auto"/>
        <w:jc w:val="both"/>
        <w:rPr>
          <w:rFonts w:ascii="Myriad Pro" w:hAnsi="Myriad Pro" w:cs="Times New Roman"/>
          <w:sz w:val="20"/>
          <w:szCs w:val="24"/>
        </w:rPr>
      </w:pPr>
      <w:r>
        <w:rPr>
          <w:kern w:val="2"/>
          <w14:ligatures w14:val="standardContextual"/>
        </w:rPr>
        <w:fldChar w:fldCharType="begin"/>
      </w:r>
      <w:r>
        <w:instrText xml:space="preserve"> ADDIN ZOTERO_BIBL {"uncited":[["http://zotero.org/users/8372339/items/MZRN9VT3"],["http://zotero.org/users/8372339/items/Z72ALN3M"],["http://zotero.org/users/8372339/items/6NN5NQDI"],["http://zotero.org/users/8372339/items/32UQ6MY7"],["http://zotero.org/users/8372339/items/N94XZGUG"],["http://zotero.org/users/8372339/items/V9BBB2XH"],["http://zotero.org/users/8372339/items/QZ8I7YHY"]],"omitted":[],"custom":[]} CSL_BIBLIOGRAPHY </w:instrText>
      </w:r>
      <w:r>
        <w:rPr>
          <w:kern w:val="2"/>
          <w14:ligatures w14:val="standardContextual"/>
        </w:rPr>
        <w:fldChar w:fldCharType="separate"/>
      </w:r>
      <w:r w:rsidRPr="00610F1A">
        <w:rPr>
          <w:rFonts w:ascii="Myriad Pro" w:hAnsi="Myriad Pro" w:cs="Times New Roman"/>
          <w:b/>
          <w:bCs/>
          <w:sz w:val="20"/>
          <w:szCs w:val="24"/>
        </w:rPr>
        <w:t xml:space="preserve">AJPES. </w:t>
      </w:r>
      <w:r w:rsidRPr="007309C9">
        <w:rPr>
          <w:rFonts w:ascii="Myriad Pro" w:hAnsi="Myriad Pro" w:cs="Times New Roman"/>
          <w:sz w:val="20"/>
          <w:szCs w:val="24"/>
        </w:rPr>
        <w:t>(202</w:t>
      </w:r>
      <w:r w:rsidR="005B15B0">
        <w:rPr>
          <w:rFonts w:ascii="Myriad Pro" w:hAnsi="Myriad Pro" w:cs="Times New Roman"/>
          <w:sz w:val="20"/>
          <w:szCs w:val="24"/>
        </w:rPr>
        <w:t>4</w:t>
      </w:r>
      <w:r w:rsidRPr="007309C9">
        <w:rPr>
          <w:rFonts w:ascii="Myriad Pro" w:hAnsi="Myriad Pro" w:cs="Times New Roman"/>
          <w:sz w:val="20"/>
          <w:szCs w:val="24"/>
        </w:rPr>
        <w:t>). Statistični podatki iz bilance stanja in izkaza poslovnega izida za gospodarske družbe in samostojne podjetnike. Ljubljana: Agencija Republike Slovenije za javnopravne evidence in storitve.</w:t>
      </w:r>
    </w:p>
    <w:p w14:paraId="6E527008" w14:textId="499AC356" w:rsidR="007309C9" w:rsidRPr="007309C9" w:rsidRDefault="0050199D" w:rsidP="00714F84">
      <w:pPr>
        <w:pStyle w:val="Bibliografija"/>
        <w:spacing w:line="288" w:lineRule="auto"/>
        <w:jc w:val="both"/>
      </w:pPr>
      <w:r w:rsidRPr="00610F1A">
        <w:rPr>
          <w:rFonts w:ascii="Myriad Pro" w:hAnsi="Myriad Pro" w:cs="Times New Roman"/>
          <w:b/>
          <w:bCs/>
          <w:sz w:val="20"/>
          <w:szCs w:val="24"/>
        </w:rPr>
        <w:t>DARS</w:t>
      </w:r>
      <w:r w:rsidR="007309C9" w:rsidRPr="00610F1A">
        <w:rPr>
          <w:rFonts w:ascii="Myriad Pro" w:hAnsi="Myriad Pro" w:cs="Times New Roman"/>
          <w:b/>
          <w:bCs/>
          <w:sz w:val="20"/>
          <w:szCs w:val="24"/>
        </w:rPr>
        <w:t xml:space="preserve">. </w:t>
      </w:r>
      <w:r w:rsidR="007309C9" w:rsidRPr="007309C9">
        <w:rPr>
          <w:rFonts w:ascii="Myriad Pro" w:hAnsi="Myriad Pro" w:cs="Times New Roman"/>
          <w:sz w:val="20"/>
          <w:szCs w:val="24"/>
        </w:rPr>
        <w:t>(20</w:t>
      </w:r>
      <w:r w:rsidR="005A6653">
        <w:rPr>
          <w:rFonts w:ascii="Myriad Pro" w:hAnsi="Myriad Pro" w:cs="Times New Roman"/>
          <w:sz w:val="20"/>
          <w:szCs w:val="24"/>
        </w:rPr>
        <w:t>2</w:t>
      </w:r>
      <w:r w:rsidR="008B3E5B">
        <w:rPr>
          <w:rFonts w:ascii="Myriad Pro" w:hAnsi="Myriad Pro" w:cs="Times New Roman"/>
          <w:sz w:val="20"/>
          <w:szCs w:val="24"/>
        </w:rPr>
        <w:t>3</w:t>
      </w:r>
      <w:r w:rsidR="007309C9" w:rsidRPr="007309C9">
        <w:rPr>
          <w:rFonts w:ascii="Myriad Pro" w:hAnsi="Myriad Pro" w:cs="Times New Roman"/>
          <w:sz w:val="20"/>
          <w:szCs w:val="24"/>
        </w:rPr>
        <w:t xml:space="preserve">). </w:t>
      </w:r>
      <w:r>
        <w:rPr>
          <w:rFonts w:ascii="Myriad Pro" w:hAnsi="Myriad Pro" w:cs="Times New Roman"/>
          <w:sz w:val="20"/>
          <w:szCs w:val="24"/>
        </w:rPr>
        <w:t>Interna</w:t>
      </w:r>
      <w:r w:rsidR="007309C9" w:rsidRPr="007309C9">
        <w:rPr>
          <w:rFonts w:ascii="Myriad Pro" w:hAnsi="Myriad Pro" w:cs="Times New Roman"/>
          <w:sz w:val="20"/>
          <w:szCs w:val="24"/>
        </w:rPr>
        <w:t xml:space="preserve"> </w:t>
      </w:r>
      <w:r>
        <w:rPr>
          <w:rFonts w:ascii="Myriad Pro" w:hAnsi="Myriad Pro" w:cs="Times New Roman"/>
          <w:sz w:val="20"/>
          <w:szCs w:val="24"/>
        </w:rPr>
        <w:t xml:space="preserve">tedenska </w:t>
      </w:r>
      <w:r w:rsidR="007309C9" w:rsidRPr="007309C9">
        <w:rPr>
          <w:rFonts w:ascii="Myriad Pro" w:hAnsi="Myriad Pro" w:cs="Times New Roman"/>
          <w:sz w:val="20"/>
          <w:szCs w:val="24"/>
        </w:rPr>
        <w:t>poročil</w:t>
      </w:r>
      <w:r>
        <w:rPr>
          <w:rFonts w:ascii="Myriad Pro" w:hAnsi="Myriad Pro" w:cs="Times New Roman"/>
          <w:sz w:val="20"/>
          <w:szCs w:val="24"/>
        </w:rPr>
        <w:t>a</w:t>
      </w:r>
      <w:r w:rsidR="007309C9" w:rsidRPr="007309C9">
        <w:rPr>
          <w:rFonts w:ascii="Myriad Pro" w:hAnsi="Myriad Pro" w:cs="Times New Roman"/>
          <w:sz w:val="20"/>
          <w:szCs w:val="24"/>
        </w:rPr>
        <w:t xml:space="preserve"> </w:t>
      </w:r>
      <w:r>
        <w:rPr>
          <w:rFonts w:ascii="Myriad Pro" w:hAnsi="Myriad Pro" w:cs="Times New Roman"/>
          <w:sz w:val="20"/>
          <w:szCs w:val="24"/>
        </w:rPr>
        <w:t>o prevoženih kilometrih elektronsko cestninjenih vozil</w:t>
      </w:r>
      <w:r w:rsidR="005A6653">
        <w:rPr>
          <w:rFonts w:ascii="Myriad Pro" w:hAnsi="Myriad Pro" w:cs="Times New Roman"/>
          <w:sz w:val="20"/>
          <w:szCs w:val="24"/>
        </w:rPr>
        <w:t>. Celje</w:t>
      </w:r>
      <w:r w:rsidR="007309C9" w:rsidRPr="007309C9">
        <w:rPr>
          <w:rFonts w:ascii="Myriad Pro" w:hAnsi="Myriad Pro" w:cs="Times New Roman"/>
          <w:sz w:val="20"/>
          <w:szCs w:val="24"/>
        </w:rPr>
        <w:t xml:space="preserve">: </w:t>
      </w:r>
      <w:r w:rsidR="005A6653">
        <w:rPr>
          <w:rFonts w:ascii="Myriad Pro" w:hAnsi="Myriad Pro" w:cs="Times New Roman"/>
          <w:sz w:val="20"/>
          <w:szCs w:val="24"/>
        </w:rPr>
        <w:t>Družba za avtoceste v Republiki Sloveniji</w:t>
      </w:r>
      <w:r w:rsidR="007309C9" w:rsidRPr="007309C9">
        <w:rPr>
          <w:rFonts w:ascii="Myriad Pro" w:hAnsi="Myriad Pro" w:cs="Times New Roman"/>
          <w:sz w:val="20"/>
          <w:szCs w:val="24"/>
        </w:rPr>
        <w:t xml:space="preserve"> d.d. </w:t>
      </w:r>
    </w:p>
    <w:p w14:paraId="278DF199" w14:textId="77777777" w:rsidR="007374DA" w:rsidRDefault="007309C9" w:rsidP="00714F84">
      <w:pPr>
        <w:pStyle w:val="BesediloUMAR"/>
      </w:pPr>
      <w:r>
        <w:fldChar w:fldCharType="end"/>
      </w:r>
      <w:r w:rsidR="00900414" w:rsidRPr="00610F1A">
        <w:rPr>
          <w:b/>
          <w:bCs/>
        </w:rPr>
        <w:t>Luka Koper.</w:t>
      </w:r>
      <w:r w:rsidR="00900414">
        <w:t xml:space="preserve"> (2024). Letno poročilo 2023. Koper: Luka Koper, d. d. Pridobljeno na spletni strani:</w:t>
      </w:r>
    </w:p>
    <w:p w14:paraId="556B05AD" w14:textId="11A735B1" w:rsidR="00AC4019" w:rsidRPr="007309C9" w:rsidRDefault="009B66AC" w:rsidP="00714F84">
      <w:pPr>
        <w:pStyle w:val="BesediloUMAR"/>
      </w:pPr>
      <w:hyperlink r:id="rId22" w:history="1">
        <w:r w:rsidR="00AC4019" w:rsidRPr="00217065">
          <w:rPr>
            <w:rStyle w:val="Hiperpovezava"/>
          </w:rPr>
          <w:t>https://www.luka-kp.si/wp-content/uploads/2024/04/01.6-Luka-Koper_letno-porocilo_2023_kazalo.pdf</w:t>
        </w:r>
      </w:hyperlink>
    </w:p>
    <w:p w14:paraId="1150334F" w14:textId="77777777" w:rsidR="004F2D70" w:rsidRDefault="004F2D70">
      <w:pPr>
        <w:spacing w:after="0" w:line="240" w:lineRule="auto"/>
        <w:rPr>
          <w:rFonts w:ascii="Myriad Pro" w:hAnsi="Myriad Pro" w:cs="Arial"/>
          <w:b/>
          <w:bCs/>
          <w:color w:val="9E001A" w:themeColor="accent1"/>
          <w:sz w:val="24"/>
          <w:szCs w:val="26"/>
        </w:rPr>
      </w:pPr>
      <w:bookmarkStart w:id="48" w:name="_Toc90552431"/>
      <w:r>
        <w:br w:type="page"/>
      </w:r>
    </w:p>
    <w:p w14:paraId="4CCD1179" w14:textId="6DC883E3" w:rsidR="004F2D70" w:rsidRPr="004F2D70" w:rsidRDefault="004F2D70" w:rsidP="004F2D70">
      <w:pPr>
        <w:pStyle w:val="Naslov3"/>
        <w:numPr>
          <w:ilvl w:val="0"/>
          <w:numId w:val="0"/>
        </w:numPr>
      </w:pPr>
      <w:bookmarkStart w:id="49" w:name="_Toc168909549"/>
      <w:r w:rsidRPr="004F2D70">
        <w:lastRenderedPageBreak/>
        <w:t xml:space="preserve">Priloga: </w:t>
      </w:r>
      <w:r w:rsidR="00714F84">
        <w:br/>
      </w:r>
      <w:r w:rsidRPr="004F2D70">
        <w:t>Opredelitev kazalnikov, uporabljenih v analizi poslovanja gospodarskih družb</w:t>
      </w:r>
      <w:bookmarkEnd w:id="48"/>
      <w:bookmarkEnd w:id="49"/>
    </w:p>
    <w:p w14:paraId="72243C80" w14:textId="77777777" w:rsidR="004F2D70" w:rsidRPr="004F2D70" w:rsidRDefault="004F2D70" w:rsidP="004F2D70">
      <w:pPr>
        <w:spacing w:after="0" w:line="288" w:lineRule="auto"/>
        <w:jc w:val="both"/>
        <w:rPr>
          <w:rFonts w:ascii="Myriad Pro" w:hAnsi="Myriad Pro"/>
          <w:sz w:val="20"/>
        </w:rPr>
      </w:pPr>
    </w:p>
    <w:p w14:paraId="7331E9C4" w14:textId="77777777" w:rsidR="004F2D70" w:rsidRPr="004F2D70" w:rsidRDefault="004F2D70" w:rsidP="004F2D70">
      <w:pPr>
        <w:pStyle w:val="BesediloUMAR"/>
      </w:pPr>
      <w:r w:rsidRPr="004F2D70">
        <w:t>KAZALNIKA VELIKOSTI</w:t>
      </w:r>
    </w:p>
    <w:p w14:paraId="5CE1FA5D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Sredstva na podjetje </w:t>
      </w:r>
    </w:p>
    <w:p w14:paraId="644EACDB" w14:textId="77777777" w:rsidR="004F2D70" w:rsidRPr="004F2D70" w:rsidRDefault="004F2D70" w:rsidP="004F2D70">
      <w:pPr>
        <w:pStyle w:val="BesediloUMAR"/>
      </w:pPr>
      <w:r w:rsidRPr="004F2D70">
        <w:t>001/število podjetij</w:t>
      </w:r>
    </w:p>
    <w:p w14:paraId="394A3D0D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Število zaposlenih na podjetje </w:t>
      </w:r>
    </w:p>
    <w:p w14:paraId="70150059" w14:textId="77777777" w:rsidR="004F2D70" w:rsidRPr="004F2D70" w:rsidRDefault="004F2D70" w:rsidP="004F2D70">
      <w:pPr>
        <w:pStyle w:val="BesediloUMAR"/>
      </w:pPr>
      <w:r w:rsidRPr="004F2D70">
        <w:t>188/število podjetij</w:t>
      </w:r>
    </w:p>
    <w:p w14:paraId="70BB545C" w14:textId="77777777" w:rsidR="004F2D70" w:rsidRPr="004F2D70" w:rsidRDefault="004F2D70" w:rsidP="004F2D70">
      <w:pPr>
        <w:pStyle w:val="BesediloUMAR"/>
      </w:pPr>
    </w:p>
    <w:p w14:paraId="5DA03B57" w14:textId="77777777" w:rsidR="004F2D70" w:rsidRPr="004F2D70" w:rsidRDefault="004F2D70" w:rsidP="004F2D70">
      <w:pPr>
        <w:pStyle w:val="BesediloUMAR"/>
      </w:pPr>
      <w:r w:rsidRPr="004F2D70">
        <w:t>KAZALNIK OPREMLJENOSTI DELA S SREDSTVI</w:t>
      </w:r>
    </w:p>
    <w:p w14:paraId="6711646D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>Povprečna* sredstva na zaposlenega</w:t>
      </w:r>
    </w:p>
    <w:p w14:paraId="2146920D" w14:textId="77777777" w:rsidR="004F2D70" w:rsidRPr="004F2D70" w:rsidRDefault="004F2D70" w:rsidP="004F2D70">
      <w:pPr>
        <w:pStyle w:val="BesediloUMAR"/>
      </w:pPr>
      <w:r w:rsidRPr="004F2D70">
        <w:t>((001</w:t>
      </w:r>
      <w:r w:rsidRPr="004F2D70">
        <w:rPr>
          <w:vertAlign w:val="subscript"/>
        </w:rPr>
        <w:t>1</w:t>
      </w:r>
      <w:r w:rsidRPr="004F2D70">
        <w:t xml:space="preserve"> + 001</w:t>
      </w:r>
      <w:r w:rsidRPr="004F2D70">
        <w:rPr>
          <w:vertAlign w:val="subscript"/>
        </w:rPr>
        <w:t>0</w:t>
      </w:r>
      <w:r w:rsidRPr="004F2D70">
        <w:t>)/2)/188</w:t>
      </w:r>
    </w:p>
    <w:p w14:paraId="2B5DB824" w14:textId="77777777" w:rsidR="004F2D70" w:rsidRPr="004F2D70" w:rsidRDefault="004F2D70" w:rsidP="004F2D70">
      <w:pPr>
        <w:pStyle w:val="BesediloUMAR"/>
      </w:pPr>
    </w:p>
    <w:p w14:paraId="456E187E" w14:textId="77777777" w:rsidR="004F2D70" w:rsidRPr="004F2D70" w:rsidRDefault="004F2D70" w:rsidP="004F2D70">
      <w:pPr>
        <w:pStyle w:val="BesediloUMAR"/>
      </w:pPr>
      <w:r w:rsidRPr="004F2D70">
        <w:t>KAZALNIK GOSPODARNOSTI</w:t>
      </w:r>
    </w:p>
    <w:p w14:paraId="2BAE6454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Gospodarnost poslovanja = poslovni prihodki/poslovni odhodki </w:t>
      </w:r>
    </w:p>
    <w:p w14:paraId="5C4BBA17" w14:textId="77777777" w:rsidR="004F2D70" w:rsidRPr="004F2D70" w:rsidRDefault="004F2D70" w:rsidP="004F2D70">
      <w:pPr>
        <w:pStyle w:val="BesediloUMAR"/>
      </w:pPr>
      <w:r w:rsidRPr="004F2D70">
        <w:t>(126/127)</w:t>
      </w:r>
    </w:p>
    <w:p w14:paraId="602EDA72" w14:textId="77777777" w:rsidR="004F2D70" w:rsidRPr="004F2D70" w:rsidRDefault="004F2D70" w:rsidP="004F2D70">
      <w:pPr>
        <w:pStyle w:val="BesediloUMAR"/>
      </w:pPr>
    </w:p>
    <w:p w14:paraId="007F3C4E" w14:textId="77777777" w:rsidR="004F2D70" w:rsidRPr="004F2D70" w:rsidRDefault="004F2D70" w:rsidP="004F2D70">
      <w:pPr>
        <w:pStyle w:val="BesediloUMAR"/>
      </w:pPr>
      <w:r w:rsidRPr="004F2D70">
        <w:t>KAZALNIKI DONOSNOSTI</w:t>
      </w:r>
    </w:p>
    <w:p w14:paraId="2C393D9A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>Donosnost sredstev = neto čisti dobiček (izguba) obračunskega obdobja/povprečna* sredstva</w:t>
      </w:r>
    </w:p>
    <w:p w14:paraId="2AFCF871" w14:textId="77777777" w:rsidR="004F2D70" w:rsidRPr="004F2D70" w:rsidRDefault="004F2D70" w:rsidP="004F2D70">
      <w:pPr>
        <w:pStyle w:val="BesediloUMAR"/>
      </w:pPr>
      <w:r w:rsidRPr="004F2D70">
        <w:t>(186–187)/((001</w:t>
      </w:r>
      <w:r w:rsidRPr="004F2D70">
        <w:rPr>
          <w:vertAlign w:val="subscript"/>
        </w:rPr>
        <w:t>1</w:t>
      </w:r>
      <w:r w:rsidRPr="004F2D70">
        <w:t xml:space="preserve"> + 001</w:t>
      </w:r>
      <w:r w:rsidRPr="004F2D70">
        <w:rPr>
          <w:vertAlign w:val="subscript"/>
        </w:rPr>
        <w:t>0</w:t>
      </w:r>
      <w:r w:rsidRPr="004F2D70">
        <w:t xml:space="preserve">)/2) </w:t>
      </w:r>
    </w:p>
    <w:p w14:paraId="45D3CE92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>Donosnost prihodkov = neto čisti dobiček (izguba) obračunskega obdobja/celotni prihodki</w:t>
      </w:r>
    </w:p>
    <w:p w14:paraId="69A88C1E" w14:textId="77777777" w:rsidR="004F2D70" w:rsidRPr="004F2D70" w:rsidRDefault="004F2D70" w:rsidP="004F2D70">
      <w:pPr>
        <w:pStyle w:val="BesediloUMAR"/>
      </w:pPr>
      <w:r w:rsidRPr="004F2D70">
        <w:t>(186–187)/(126 + 153 + 178)</w:t>
      </w:r>
    </w:p>
    <w:p w14:paraId="02145197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>Donosnost kapitala = neto čisti dobiček (izguba) obračunskega obdobja/povprečni* kapital</w:t>
      </w:r>
    </w:p>
    <w:p w14:paraId="608AB68A" w14:textId="77777777" w:rsidR="004F2D70" w:rsidRPr="004F2D70" w:rsidRDefault="004F2D70" w:rsidP="004F2D70">
      <w:pPr>
        <w:pStyle w:val="BesediloUMAR"/>
      </w:pPr>
      <w:r w:rsidRPr="004F2D70">
        <w:t>(186–187)/((056</w:t>
      </w:r>
      <w:r w:rsidRPr="004F2D70">
        <w:rPr>
          <w:vertAlign w:val="subscript"/>
        </w:rPr>
        <w:t>1</w:t>
      </w:r>
      <w:r w:rsidRPr="004F2D70">
        <w:t xml:space="preserve"> + 056</w:t>
      </w:r>
      <w:r w:rsidRPr="004F2D70">
        <w:rPr>
          <w:vertAlign w:val="subscript"/>
        </w:rPr>
        <w:t>0</w:t>
      </w:r>
      <w:r w:rsidRPr="004F2D70">
        <w:t>)/2)</w:t>
      </w:r>
    </w:p>
    <w:p w14:paraId="4489BE2D" w14:textId="77777777" w:rsidR="004F2D70" w:rsidRPr="004F2D70" w:rsidRDefault="004F2D70" w:rsidP="004F2D70">
      <w:pPr>
        <w:pStyle w:val="BesediloUMAR"/>
      </w:pPr>
    </w:p>
    <w:p w14:paraId="7351A05B" w14:textId="77777777" w:rsidR="004F2D70" w:rsidRPr="004F2D70" w:rsidRDefault="004F2D70" w:rsidP="004F2D70">
      <w:pPr>
        <w:pStyle w:val="BesediloUMAR"/>
      </w:pPr>
      <w:r w:rsidRPr="004F2D70">
        <w:t>KAZALNIK PRODUKTIVNOSTI</w:t>
      </w:r>
    </w:p>
    <w:p w14:paraId="1D81C55C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Dodana vrednost na zaposlenega </w:t>
      </w:r>
    </w:p>
    <w:p w14:paraId="167D2F78" w14:textId="77777777" w:rsidR="004F2D70" w:rsidRPr="004F2D70" w:rsidRDefault="004F2D70" w:rsidP="004F2D70">
      <w:pPr>
        <w:pStyle w:val="BesediloUMAR"/>
      </w:pPr>
      <w:r w:rsidRPr="004F2D70">
        <w:t xml:space="preserve">(126–128–148)/188 </w:t>
      </w:r>
    </w:p>
    <w:p w14:paraId="5B92C84A" w14:textId="77777777" w:rsidR="004F2D70" w:rsidRPr="004F2D70" w:rsidRDefault="004F2D70" w:rsidP="004F2D70">
      <w:pPr>
        <w:pStyle w:val="BesediloUMAR"/>
      </w:pPr>
    </w:p>
    <w:p w14:paraId="291A937B" w14:textId="77777777" w:rsidR="004F2D70" w:rsidRPr="004F2D70" w:rsidRDefault="004F2D70" w:rsidP="004F2D70">
      <w:pPr>
        <w:pStyle w:val="BesediloUMAR"/>
      </w:pPr>
      <w:r w:rsidRPr="004F2D70">
        <w:t>KAZALNIKA STROŠKOV DELA</w:t>
      </w:r>
    </w:p>
    <w:p w14:paraId="7B988BEE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Stroški dela na zaposlenega </w:t>
      </w:r>
    </w:p>
    <w:p w14:paraId="263D16C9" w14:textId="77777777" w:rsidR="004F2D70" w:rsidRPr="004F2D70" w:rsidRDefault="004F2D70" w:rsidP="004F2D70">
      <w:pPr>
        <w:pStyle w:val="BesediloUMAR"/>
      </w:pPr>
      <w:r w:rsidRPr="004F2D70">
        <w:t>(139/188)</w:t>
      </w:r>
    </w:p>
    <w:p w14:paraId="109FD119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>Delež stroškov dela v dodani vrednosti</w:t>
      </w:r>
    </w:p>
    <w:p w14:paraId="5E2568C6" w14:textId="77777777" w:rsidR="004F2D70" w:rsidRPr="004F2D70" w:rsidRDefault="004F2D70" w:rsidP="004F2D70">
      <w:pPr>
        <w:pStyle w:val="BesediloUMAR"/>
      </w:pPr>
      <w:r w:rsidRPr="004F2D70">
        <w:t>(139/(126–128–148))</w:t>
      </w:r>
    </w:p>
    <w:p w14:paraId="5C3152B6" w14:textId="77777777" w:rsidR="004F2D70" w:rsidRPr="004F2D70" w:rsidRDefault="004F2D70" w:rsidP="004F2D70">
      <w:pPr>
        <w:pStyle w:val="BesediloUMAR"/>
      </w:pPr>
    </w:p>
    <w:p w14:paraId="6B3F07B3" w14:textId="77777777" w:rsidR="004F2D70" w:rsidRPr="004F2D70" w:rsidRDefault="004F2D70" w:rsidP="004F2D70">
      <w:pPr>
        <w:pStyle w:val="BesediloUMAR"/>
      </w:pPr>
      <w:r w:rsidRPr="004F2D70">
        <w:t>KAZALNIKI FINANCIRANJA IN PLAČILNE SPOSOBNOSTI</w:t>
      </w:r>
    </w:p>
    <w:p w14:paraId="6C175A55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>Delež dolga (kratkoročne in dolgoročne finančne ter poslovne obveznosti, rezervacije in pasivne časovne razmejitve) v virih sredstev</w:t>
      </w:r>
    </w:p>
    <w:p w14:paraId="56F155E7" w14:textId="77777777" w:rsidR="004F2D70" w:rsidRPr="004F2D70" w:rsidRDefault="004F2D70" w:rsidP="004F2D70">
      <w:pPr>
        <w:pStyle w:val="BesediloUMAR"/>
      </w:pPr>
      <w:r w:rsidRPr="004F2D70">
        <w:t>((072 + 075 + 085 + 095)/055)</w:t>
      </w:r>
    </w:p>
    <w:p w14:paraId="037975D5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Delež kratkoročnih obveznosti (s pasivnimi časovnimi razmejitvami) v virih sredstev </w:t>
      </w:r>
    </w:p>
    <w:p w14:paraId="65AA29F8" w14:textId="77777777" w:rsidR="004F2D70" w:rsidRPr="004F2D70" w:rsidRDefault="004F2D70" w:rsidP="004F2D70">
      <w:pPr>
        <w:pStyle w:val="BesediloUMAR"/>
      </w:pPr>
      <w:r w:rsidRPr="004F2D70">
        <w:t>((085 + 095)/055)</w:t>
      </w:r>
    </w:p>
    <w:p w14:paraId="4C18F4C5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>Kapitalska pokritost dolgoročnih sredstev</w:t>
      </w:r>
    </w:p>
    <w:p w14:paraId="7473160F" w14:textId="77777777" w:rsidR="004F2D70" w:rsidRPr="004F2D70" w:rsidRDefault="004F2D70" w:rsidP="004F2D70">
      <w:pPr>
        <w:pStyle w:val="BesediloUMAR"/>
      </w:pPr>
      <w:r w:rsidRPr="004F2D70">
        <w:t>(056/002)</w:t>
      </w:r>
    </w:p>
    <w:p w14:paraId="7E223E3F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>Dolgoročna pokritost dolgoročnih sredstev in zalog</w:t>
      </w:r>
    </w:p>
    <w:p w14:paraId="02BB0062" w14:textId="77777777" w:rsidR="004F2D70" w:rsidRPr="004F2D70" w:rsidRDefault="004F2D70" w:rsidP="004F2D70">
      <w:pPr>
        <w:pStyle w:val="BesediloUMAR"/>
      </w:pPr>
      <w:r w:rsidRPr="004F2D70">
        <w:t>(056 + 072 + 075)/(002 + 034)</w:t>
      </w:r>
    </w:p>
    <w:p w14:paraId="5B0A6F11" w14:textId="77777777" w:rsidR="004F2D70" w:rsidRDefault="004F2D70" w:rsidP="004F2D70">
      <w:pPr>
        <w:pStyle w:val="BesediloUMAR"/>
      </w:pPr>
    </w:p>
    <w:p w14:paraId="676963BA" w14:textId="77777777" w:rsidR="004F2D70" w:rsidRPr="004F2D70" w:rsidRDefault="004F2D70" w:rsidP="004F2D70">
      <w:pPr>
        <w:pStyle w:val="BesediloUMAR"/>
      </w:pPr>
      <w:r w:rsidRPr="004F2D70">
        <w:lastRenderedPageBreak/>
        <w:t>KAZALNIK IZVOZNE USMERJENOSTI</w:t>
      </w:r>
    </w:p>
    <w:p w14:paraId="5123D580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Delež čistih prihodkov od prodaje na tujem trgu v celotnih čistih prihodkih od prodaje </w:t>
      </w:r>
    </w:p>
    <w:p w14:paraId="66C25DCC" w14:textId="77777777" w:rsidR="004F2D70" w:rsidRPr="004F2D70" w:rsidRDefault="004F2D70" w:rsidP="004F2D70">
      <w:pPr>
        <w:pStyle w:val="BesediloUMAR"/>
      </w:pPr>
      <w:r w:rsidRPr="004F2D70">
        <w:t>(115 + 118)/110</w:t>
      </w:r>
    </w:p>
    <w:p w14:paraId="49955431" w14:textId="77777777" w:rsidR="004F2D70" w:rsidRPr="004F2D70" w:rsidRDefault="004F2D70" w:rsidP="004F2D70">
      <w:pPr>
        <w:pStyle w:val="BesediloUMAR"/>
      </w:pPr>
    </w:p>
    <w:p w14:paraId="00CBCA06" w14:textId="77777777" w:rsidR="004F2D70" w:rsidRPr="004F2D70" w:rsidRDefault="004F2D70" w:rsidP="004F2D70">
      <w:pPr>
        <w:pStyle w:val="BesediloUMAR"/>
      </w:pPr>
      <w:r w:rsidRPr="004F2D70">
        <w:t xml:space="preserve">KAZALNIKA STRUKTURE SREDSTEV </w:t>
      </w:r>
    </w:p>
    <w:p w14:paraId="25120313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Delež dolgoročnih sredstev v sredstvih </w:t>
      </w:r>
    </w:p>
    <w:p w14:paraId="3F0CC0E7" w14:textId="77777777" w:rsidR="004F2D70" w:rsidRPr="004F2D70" w:rsidRDefault="004F2D70" w:rsidP="004F2D70">
      <w:pPr>
        <w:pStyle w:val="BesediloUMAR"/>
      </w:pPr>
      <w:r w:rsidRPr="004F2D70">
        <w:t>(002/001)</w:t>
      </w:r>
    </w:p>
    <w:p w14:paraId="67512A75" w14:textId="77777777" w:rsidR="004F2D70" w:rsidRPr="004F2D70" w:rsidRDefault="004F2D70" w:rsidP="004F2D70">
      <w:pPr>
        <w:pStyle w:val="BesediloUMAR"/>
        <w:rPr>
          <w:b/>
        </w:rPr>
      </w:pPr>
      <w:r w:rsidRPr="004F2D70">
        <w:rPr>
          <w:b/>
        </w:rPr>
        <w:t xml:space="preserve">Delež proizvajalnih strojev in naprav ter druge opreme in naprav v dolgoročnih sredstvih </w:t>
      </w:r>
    </w:p>
    <w:p w14:paraId="2FD6A611" w14:textId="77777777" w:rsidR="004F2D70" w:rsidRPr="004F2D70" w:rsidRDefault="004F2D70" w:rsidP="004F2D70">
      <w:pPr>
        <w:pStyle w:val="BesediloUMAR"/>
      </w:pPr>
      <w:r w:rsidRPr="004F2D70">
        <w:t>((013 + 014)/002)</w:t>
      </w:r>
    </w:p>
    <w:p w14:paraId="58ADB2AA" w14:textId="77777777" w:rsidR="004F2D70" w:rsidRPr="004F2D70" w:rsidRDefault="004F2D70" w:rsidP="004F2D70">
      <w:pPr>
        <w:pStyle w:val="BesediloUMAR"/>
      </w:pPr>
    </w:p>
    <w:p w14:paraId="1AAC1175" w14:textId="77777777" w:rsidR="004F2D70" w:rsidRPr="004F2D70" w:rsidRDefault="004F2D70" w:rsidP="004F2D70">
      <w:pPr>
        <w:pStyle w:val="BesediloUMAR"/>
        <w:rPr>
          <w:sz w:val="16"/>
        </w:rPr>
      </w:pPr>
      <w:r w:rsidRPr="004F2D70">
        <w:rPr>
          <w:sz w:val="16"/>
        </w:rPr>
        <w:t>Opombi: Številke v formulah pomenijo ustrezno šifro AOP. * Pri izračunu povprečne vrednosti sredstev in kapitala se upošteva podatek o vrednosti sredstev/kapitala ob koncu tekočega in ob koncu preteklega leta za družbe, ki so poslovale v tekočem letu.</w:t>
      </w:r>
    </w:p>
    <w:p w14:paraId="562665FB" w14:textId="77777777" w:rsidR="00433EC8" w:rsidRPr="00AC6CC1" w:rsidRDefault="00433EC8" w:rsidP="00AC6CC1">
      <w:pPr>
        <w:spacing w:after="0" w:line="240" w:lineRule="auto"/>
        <w:rPr>
          <w:rFonts w:ascii="Myriad Pro" w:hAnsi="Myriad Pro"/>
          <w:sz w:val="16"/>
        </w:rPr>
      </w:pPr>
    </w:p>
    <w:sectPr w:rsidR="00433EC8" w:rsidRPr="00AC6CC1" w:rsidSect="00DA3486">
      <w:headerReference w:type="default" r:id="rId23"/>
      <w:pgSz w:w="11906" w:h="16838"/>
      <w:pgMar w:top="1701" w:right="1418" w:bottom="1418" w:left="1418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FEC6" w14:textId="77777777" w:rsidR="00097C81" w:rsidRDefault="00097C81" w:rsidP="009E1648">
      <w:r>
        <w:separator/>
      </w:r>
    </w:p>
    <w:p w14:paraId="768AAAF2" w14:textId="77777777" w:rsidR="00097C81" w:rsidRDefault="00097C81" w:rsidP="009E1648"/>
    <w:p w14:paraId="40CD0EE2" w14:textId="77777777" w:rsidR="00097C81" w:rsidRDefault="00097C81" w:rsidP="009E1648"/>
    <w:p w14:paraId="15C0CF71" w14:textId="77777777" w:rsidR="00097C81" w:rsidRDefault="00097C81" w:rsidP="009E1648"/>
    <w:p w14:paraId="20E2E5A3" w14:textId="77777777" w:rsidR="00097C81" w:rsidRDefault="00097C81" w:rsidP="009E1648"/>
    <w:p w14:paraId="3B9071E9" w14:textId="77777777" w:rsidR="00097C81" w:rsidRDefault="00097C81" w:rsidP="009E1648"/>
    <w:p w14:paraId="2F6ECD5D" w14:textId="77777777" w:rsidR="00097C81" w:rsidRDefault="00097C81" w:rsidP="009E1648"/>
    <w:p w14:paraId="48C93AD5" w14:textId="77777777" w:rsidR="00097C81" w:rsidRDefault="00097C81" w:rsidP="009E1648"/>
    <w:p w14:paraId="6AE2D33F" w14:textId="77777777" w:rsidR="00097C81" w:rsidRDefault="00097C81"/>
    <w:p w14:paraId="1ACEF7DF" w14:textId="77777777" w:rsidR="00097C81" w:rsidRDefault="00097C81"/>
    <w:p w14:paraId="1107F3B7" w14:textId="77777777" w:rsidR="00097C81" w:rsidRDefault="00097C81" w:rsidP="00A540FA"/>
    <w:p w14:paraId="791D74D1" w14:textId="77777777" w:rsidR="00097C81" w:rsidRDefault="00097C81" w:rsidP="00A540FA"/>
    <w:p w14:paraId="7A175EBF" w14:textId="77777777" w:rsidR="00097C81" w:rsidRDefault="00097C81" w:rsidP="00A540FA"/>
    <w:p w14:paraId="6D9ACA15" w14:textId="77777777" w:rsidR="00097C81" w:rsidRDefault="00097C81" w:rsidP="00A540FA"/>
    <w:p w14:paraId="66477BD7" w14:textId="77777777" w:rsidR="00097C81" w:rsidRDefault="00097C81" w:rsidP="00A540FA"/>
    <w:p w14:paraId="5F66DCD1" w14:textId="77777777" w:rsidR="00097C81" w:rsidRDefault="00097C81"/>
  </w:endnote>
  <w:endnote w:type="continuationSeparator" w:id="0">
    <w:p w14:paraId="06D49436" w14:textId="77777777" w:rsidR="00097C81" w:rsidRDefault="00097C81" w:rsidP="009E1648">
      <w:r>
        <w:continuationSeparator/>
      </w:r>
    </w:p>
    <w:p w14:paraId="24469BC2" w14:textId="77777777" w:rsidR="00097C81" w:rsidRDefault="00097C81" w:rsidP="009E1648"/>
    <w:p w14:paraId="43D22789" w14:textId="77777777" w:rsidR="00097C81" w:rsidRDefault="00097C81" w:rsidP="009E1648"/>
    <w:p w14:paraId="7043863D" w14:textId="77777777" w:rsidR="00097C81" w:rsidRDefault="00097C81" w:rsidP="009E1648"/>
    <w:p w14:paraId="6981B956" w14:textId="77777777" w:rsidR="00097C81" w:rsidRDefault="00097C81" w:rsidP="009E1648"/>
    <w:p w14:paraId="30AFF6BA" w14:textId="77777777" w:rsidR="00097C81" w:rsidRDefault="00097C81" w:rsidP="009E1648"/>
    <w:p w14:paraId="69991948" w14:textId="77777777" w:rsidR="00097C81" w:rsidRDefault="00097C81" w:rsidP="009E1648"/>
    <w:p w14:paraId="316BC596" w14:textId="77777777" w:rsidR="00097C81" w:rsidRDefault="00097C81" w:rsidP="009E1648"/>
    <w:p w14:paraId="0E87CA96" w14:textId="77777777" w:rsidR="00097C81" w:rsidRDefault="00097C81"/>
    <w:p w14:paraId="0A738DB9" w14:textId="77777777" w:rsidR="00097C81" w:rsidRDefault="00097C81"/>
    <w:p w14:paraId="0E10B2A6" w14:textId="77777777" w:rsidR="00097C81" w:rsidRDefault="00097C81" w:rsidP="00A540FA"/>
    <w:p w14:paraId="31A245E0" w14:textId="77777777" w:rsidR="00097C81" w:rsidRDefault="00097C81" w:rsidP="00A540FA"/>
    <w:p w14:paraId="395F655D" w14:textId="77777777" w:rsidR="00097C81" w:rsidRDefault="00097C81" w:rsidP="00A540FA"/>
    <w:p w14:paraId="1BC06319" w14:textId="77777777" w:rsidR="00097C81" w:rsidRDefault="00097C81" w:rsidP="00A540FA"/>
    <w:p w14:paraId="3EA68668" w14:textId="77777777" w:rsidR="00097C81" w:rsidRDefault="00097C81" w:rsidP="00A540FA"/>
    <w:p w14:paraId="157F12D5" w14:textId="77777777" w:rsidR="00097C81" w:rsidRDefault="00097C81"/>
  </w:endnote>
  <w:endnote w:type="continuationNotice" w:id="1">
    <w:p w14:paraId="3C86A175" w14:textId="77777777" w:rsidR="00097C81" w:rsidRDefault="00097C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00C4" w14:textId="77777777" w:rsidR="00EB5B30" w:rsidRDefault="00EB5B30" w:rsidP="00B35647">
    <w:pPr>
      <w:pStyle w:val="Noga"/>
      <w:framePr w:wrap="around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CF13" w14:textId="77777777" w:rsidR="00097C81" w:rsidRPr="009B56EE" w:rsidRDefault="00097C81" w:rsidP="009B56EE">
      <w:pPr>
        <w:pStyle w:val="BesediloUMAR"/>
      </w:pPr>
      <w:r w:rsidRPr="009B56EE">
        <w:separator/>
      </w:r>
    </w:p>
  </w:footnote>
  <w:footnote w:type="continuationSeparator" w:id="0">
    <w:p w14:paraId="7CE2206C" w14:textId="77777777" w:rsidR="00097C81" w:rsidRDefault="00097C81">
      <w:r>
        <w:separator/>
      </w:r>
    </w:p>
  </w:footnote>
  <w:footnote w:type="continuationNotice" w:id="1">
    <w:p w14:paraId="25FCEE8B" w14:textId="77777777" w:rsidR="00097C81" w:rsidRDefault="00097C81">
      <w:pPr>
        <w:spacing w:line="240" w:lineRule="auto"/>
      </w:pPr>
    </w:p>
  </w:footnote>
  <w:footnote w:id="2">
    <w:p w14:paraId="1EDEBE66" w14:textId="77777777" w:rsidR="00EB5B30" w:rsidRPr="00E404E6" w:rsidRDefault="00EB5B30" w:rsidP="005603C5">
      <w:pPr>
        <w:pStyle w:val="Sprotnaopomba-besedilo"/>
      </w:pPr>
      <w:r w:rsidRPr="00E404E6">
        <w:rPr>
          <w:rStyle w:val="Sprotnaopomba-sklic"/>
        </w:rPr>
        <w:footnoteRef/>
      </w:r>
      <w:r w:rsidRPr="00E404E6">
        <w:t xml:space="preserve"> Objavlja jih AJPES na podlagi letnih poročil, ki jih enkrat letno predložijo gospodarske družbe. </w:t>
      </w:r>
    </w:p>
  </w:footnote>
  <w:footnote w:id="3">
    <w:p w14:paraId="40E4CE53" w14:textId="661272D0" w:rsidR="00EB5B30" w:rsidRDefault="00EB5B30" w:rsidP="005603C5">
      <w:pPr>
        <w:pStyle w:val="Sprotnaopomba-besedilo"/>
      </w:pPr>
      <w:r>
        <w:rPr>
          <w:rStyle w:val="Sprotnaopomba-sklic"/>
        </w:rPr>
        <w:footnoteRef/>
      </w:r>
      <w:r>
        <w:t xml:space="preserve"> Podatki </w:t>
      </w:r>
      <w:r w:rsidRPr="006C15DE">
        <w:t>iz bilance stanja in izkaza poslovnega izida gospodarskih družb</w:t>
      </w:r>
      <w:r>
        <w:t xml:space="preserve">, </w:t>
      </w:r>
      <w:r w:rsidRPr="006C15DE">
        <w:t>za razliko od strukturnih statistik ali nacionalnih računov</w:t>
      </w:r>
      <w:r>
        <w:t>,</w:t>
      </w:r>
      <w:r w:rsidRPr="006C15DE">
        <w:t xml:space="preserve"> </w:t>
      </w:r>
      <w:r>
        <w:t xml:space="preserve">sicer ne </w:t>
      </w:r>
      <w:r w:rsidRPr="006C15DE">
        <w:t>vključujejo rezultatov vseh poslovnih subjektov (poleg gospodarskih družb so to še samostojni podjetniki, zadruge, društva, pravne osebe zasebnega in javnega prava)</w:t>
      </w:r>
      <w:r>
        <w:t xml:space="preserve">, a so na voljo že šest mesecev po zaključku leta in nam omogočajo podrobno analizo poslovanja, tako poglobljeno znotraj posameznih dejavnosti, kot tudi z raznih vidikov zaradi velikega števila </w:t>
      </w:r>
      <w:r w:rsidR="006A4F51">
        <w:t xml:space="preserve">razpoložljivih </w:t>
      </w:r>
      <w:r>
        <w:t>kazalnikov.</w:t>
      </w:r>
    </w:p>
  </w:footnote>
  <w:footnote w:id="4">
    <w:p w14:paraId="5F87C223" w14:textId="7BEE8425" w:rsidR="00EB5B30" w:rsidRPr="00E404E6" w:rsidRDefault="00EB5B30" w:rsidP="005603C5">
      <w:pPr>
        <w:pStyle w:val="Sprotnaopomba-besedilo"/>
      </w:pPr>
      <w:r w:rsidRPr="00E404E6">
        <w:rPr>
          <w:rStyle w:val="Sprotnaopomba-sklic"/>
        </w:rPr>
        <w:footnoteRef/>
      </w:r>
      <w:r w:rsidRPr="00E404E6">
        <w:t xml:space="preserve"> </w:t>
      </w:r>
      <w:r w:rsidRPr="0033628B">
        <w:t xml:space="preserve">Neposredna primerjava podatkov kaže </w:t>
      </w:r>
      <w:r>
        <w:t>1</w:t>
      </w:r>
      <w:r w:rsidR="003E6DB6">
        <w:t>17</w:t>
      </w:r>
      <w:r w:rsidRPr="0033628B">
        <w:t xml:space="preserve">-odstotno </w:t>
      </w:r>
      <w:r>
        <w:t xml:space="preserve">nominalno </w:t>
      </w:r>
      <w:r w:rsidRPr="0033628B">
        <w:t>povečanje dodane vrednosti v omenjenem obdobju</w:t>
      </w:r>
      <w:r>
        <w:t xml:space="preserve"> (pri vseh družbah nižje, </w:t>
      </w:r>
      <w:r w:rsidR="003E6DB6">
        <w:t>85</w:t>
      </w:r>
      <w:r>
        <w:t>-odstotno)</w:t>
      </w:r>
      <w:r w:rsidRPr="0033628B">
        <w:t xml:space="preserve">. </w:t>
      </w:r>
      <w:r>
        <w:t>Vendar je d</w:t>
      </w:r>
      <w:r w:rsidRPr="0033628B">
        <w:t xml:space="preserve">el tega </w:t>
      </w:r>
      <w:r>
        <w:t xml:space="preserve">velikega </w:t>
      </w:r>
      <w:r w:rsidRPr="0033628B">
        <w:t xml:space="preserve">povečanja prispevalo tudi zakonsko preoblikovanje </w:t>
      </w:r>
      <w:r w:rsidRPr="00084A7F">
        <w:t>družbe DARS</w:t>
      </w:r>
      <w:r w:rsidRPr="0033628B">
        <w:t xml:space="preserve"> v letu 2010, na podatke pa so v tem obdobju vplivale tudi številne preregistracije družb, ki so bile v začetku pod okriljem enovite družbe Slovenske železnice.</w:t>
      </w:r>
    </w:p>
  </w:footnote>
  <w:footnote w:id="5">
    <w:p w14:paraId="762F9A1E" w14:textId="1581D6B4" w:rsidR="00EB5B30" w:rsidRDefault="00EB5B30" w:rsidP="005603C5">
      <w:pPr>
        <w:pStyle w:val="Sprotnaopomba-besedilo"/>
      </w:pPr>
      <w:r>
        <w:rPr>
          <w:rStyle w:val="Sprotnaopomba-sklic"/>
        </w:rPr>
        <w:footnoteRef/>
      </w:r>
      <w:r>
        <w:t xml:space="preserve"> Tu podajamo tudi spremembe dodane vrednosti, izračunane brez upoštevanja postavke subvencij (AOP 124), kjer se je zlasti v letu 2020, pa tudi v letih 2021</w:t>
      </w:r>
      <w:r w:rsidR="00913E34">
        <w:t>,</w:t>
      </w:r>
      <w:r>
        <w:t xml:space="preserve"> 2022</w:t>
      </w:r>
      <w:r w:rsidR="00913E34">
        <w:t xml:space="preserve"> in 2023</w:t>
      </w:r>
      <w:r>
        <w:t>, beležila tudi državna pomoč družbam, katerih delovanje je bilo v času epidemioloških ukrepov</w:t>
      </w:r>
      <w:r w:rsidRPr="006E1B66">
        <w:t xml:space="preserve"> </w:t>
      </w:r>
      <w:r>
        <w:t xml:space="preserve">omejeno, </w:t>
      </w:r>
      <w:r w:rsidR="00A371A5">
        <w:t>družbam</w:t>
      </w:r>
      <w:r w:rsidR="00317198">
        <w:t xml:space="preserve"> s težavami </w:t>
      </w:r>
      <w:r>
        <w:t>zaradi visokih cen energije</w:t>
      </w:r>
      <w:r w:rsidR="00913E34" w:rsidRPr="00913E34">
        <w:t xml:space="preserve"> </w:t>
      </w:r>
      <w:r w:rsidR="00913E34">
        <w:t>ter v zadnjem letu tudi družbam, prizadetim ob poplavah</w:t>
      </w:r>
      <w:r>
        <w:t>. Izračun dodane vrednosti po tej formuli naj bi bil bližje razumevanju dodane vrednosti po statistiki nacionalnih računov.</w:t>
      </w:r>
      <w:r w:rsidRPr="00502FCA">
        <w:rPr>
          <w:bCs/>
        </w:rPr>
        <w:t xml:space="preserve"> </w:t>
      </w:r>
      <w:r>
        <w:rPr>
          <w:bCs/>
        </w:rPr>
        <w:t>Č</w:t>
      </w:r>
      <w:r w:rsidRPr="0033628B">
        <w:rPr>
          <w:bCs/>
        </w:rPr>
        <w:t>e</w:t>
      </w:r>
      <w:r>
        <w:rPr>
          <w:bCs/>
        </w:rPr>
        <w:t xml:space="preserve"> </w:t>
      </w:r>
      <w:r w:rsidR="00206F3C">
        <w:rPr>
          <w:bCs/>
        </w:rPr>
        <w:t xml:space="preserve">tako </w:t>
      </w:r>
      <w:r w:rsidRPr="0033628B">
        <w:rPr>
          <w:bCs/>
        </w:rPr>
        <w:t xml:space="preserve">iz izračuna dodane vrednosti izločimo subvencije, je </w:t>
      </w:r>
      <w:r>
        <w:rPr>
          <w:bCs/>
        </w:rPr>
        <w:t xml:space="preserve">bilo znižanje dodane vrednosti v letu 2020 10,8, povečanje v naslednjih </w:t>
      </w:r>
      <w:r w:rsidR="00206F3C">
        <w:rPr>
          <w:bCs/>
        </w:rPr>
        <w:t xml:space="preserve">treh letih </w:t>
      </w:r>
      <w:r>
        <w:rPr>
          <w:bCs/>
        </w:rPr>
        <w:t>pa 13</w:t>
      </w:r>
      <w:r w:rsidR="003C2C5C">
        <w:rPr>
          <w:bCs/>
        </w:rPr>
        <w:t>,</w:t>
      </w:r>
      <w:r>
        <w:rPr>
          <w:bCs/>
        </w:rPr>
        <w:t xml:space="preserve"> 16,9</w:t>
      </w:r>
      <w:r w:rsidR="003C2C5C">
        <w:rPr>
          <w:bCs/>
        </w:rPr>
        <w:t xml:space="preserve"> in</w:t>
      </w:r>
      <w:r w:rsidR="00206F3C">
        <w:rPr>
          <w:bCs/>
        </w:rPr>
        <w:t xml:space="preserve"> </w:t>
      </w:r>
      <w:r w:rsidR="003C2C5C">
        <w:rPr>
          <w:bCs/>
        </w:rPr>
        <w:t>5,9-odstotno</w:t>
      </w:r>
      <w:r>
        <w:rPr>
          <w:bCs/>
        </w:rPr>
        <w:t>.</w:t>
      </w:r>
    </w:p>
  </w:footnote>
  <w:footnote w:id="6">
    <w:p w14:paraId="1B387633" w14:textId="3DA9C505" w:rsidR="00EB5B30" w:rsidRDefault="00EB5B30" w:rsidP="005603C5">
      <w:pPr>
        <w:pStyle w:val="Sprotnaopomba-besedilo"/>
      </w:pPr>
      <w:r>
        <w:rPr>
          <w:rStyle w:val="Sprotnaopomba-sklic"/>
        </w:rPr>
        <w:footnoteRef/>
      </w:r>
      <w:r>
        <w:t xml:space="preserve"> P</w:t>
      </w:r>
      <w:r w:rsidRPr="00FE73BC">
        <w:t xml:space="preserve">ri izračunu dodane vrednosti brez upoštevanja subvencij sta bila ustrezna odstotka spremembe </w:t>
      </w:r>
      <w:r w:rsidR="003C2C5C">
        <w:t>24</w:t>
      </w:r>
      <w:r w:rsidRPr="00FE73BC">
        <w:t xml:space="preserve">,8 % in </w:t>
      </w:r>
      <w:r w:rsidR="003C2C5C">
        <w:t>35</w:t>
      </w:r>
      <w:r w:rsidRPr="00FE73BC">
        <w:t>,</w:t>
      </w:r>
      <w:r w:rsidR="003C2C5C">
        <w:t>8</w:t>
      </w:r>
      <w:r w:rsidRPr="00FE73BC">
        <w:t> %</w:t>
      </w:r>
      <w:r>
        <w:t>.</w:t>
      </w:r>
    </w:p>
  </w:footnote>
  <w:footnote w:id="7">
    <w:p w14:paraId="601B3B65" w14:textId="42ACED81" w:rsidR="00EB5B30" w:rsidRPr="00BD49D6" w:rsidRDefault="00EB5B30" w:rsidP="005603C5">
      <w:pPr>
        <w:pStyle w:val="Sprotnaopomba-besedilo"/>
      </w:pPr>
      <w:r>
        <w:rPr>
          <w:rStyle w:val="Sprotnaopomba-sklic"/>
        </w:rPr>
        <w:footnoteRef/>
      </w:r>
      <w:r>
        <w:t xml:space="preserve"> Sa</w:t>
      </w:r>
      <w:r w:rsidRPr="00BD49D6">
        <w:t xml:space="preserve">mostojni podjetniki </w:t>
      </w:r>
      <w:r>
        <w:t>so v letu 202</w:t>
      </w:r>
      <w:r w:rsidR="00B667F5">
        <w:t>3</w:t>
      </w:r>
      <w:r>
        <w:t xml:space="preserve"> v dejavnosti H ustvarili</w:t>
      </w:r>
      <w:r w:rsidRPr="00BD49D6">
        <w:t xml:space="preserve"> 2</w:t>
      </w:r>
      <w:r w:rsidR="00B667F5">
        <w:t>75</w:t>
      </w:r>
      <w:r w:rsidRPr="00BD49D6">
        <w:t xml:space="preserve"> mio EUR </w:t>
      </w:r>
      <w:r>
        <w:t xml:space="preserve">dodane vrednosti </w:t>
      </w:r>
      <w:r w:rsidRPr="00BD49D6">
        <w:t xml:space="preserve">(za </w:t>
      </w:r>
      <w:r w:rsidR="00B667F5">
        <w:t>13</w:t>
      </w:r>
      <w:r>
        <w:t>,</w:t>
      </w:r>
      <w:r w:rsidR="00B667F5">
        <w:t>6</w:t>
      </w:r>
      <w:r>
        <w:t> % več</w:t>
      </w:r>
      <w:r w:rsidRPr="00BD49D6">
        <w:t xml:space="preserve"> kot </w:t>
      </w:r>
      <w:r>
        <w:t xml:space="preserve">v </w:t>
      </w:r>
      <w:r w:rsidRPr="00BD49D6">
        <w:t>let</w:t>
      </w:r>
      <w:r>
        <w:t>u</w:t>
      </w:r>
      <w:r w:rsidRPr="00BD49D6">
        <w:t xml:space="preserve"> </w:t>
      </w:r>
      <w:r>
        <w:t xml:space="preserve">2019; </w:t>
      </w:r>
      <w:r w:rsidR="00B667F5">
        <w:t>pol</w:t>
      </w:r>
      <w:r>
        <w:t xml:space="preserve"> manjša rast kot pri prometnih družbah</w:t>
      </w:r>
      <w:r w:rsidRPr="00BD49D6">
        <w:t>)</w:t>
      </w:r>
      <w:r>
        <w:t>, brez upoštevanja subvencij pa 2</w:t>
      </w:r>
      <w:r w:rsidR="00B667F5">
        <w:t>6</w:t>
      </w:r>
      <w:r>
        <w:t>8 mio EUR (</w:t>
      </w:r>
      <w:r w:rsidRPr="00BD49D6">
        <w:t xml:space="preserve">za </w:t>
      </w:r>
      <w:r w:rsidR="00CF3E03">
        <w:t>12</w:t>
      </w:r>
      <w:r>
        <w:t>,</w:t>
      </w:r>
      <w:r w:rsidR="00CF3E03">
        <w:t>9</w:t>
      </w:r>
      <w:r>
        <w:t> % več</w:t>
      </w:r>
      <w:r w:rsidRPr="00BD49D6">
        <w:t xml:space="preserve"> kot </w:t>
      </w:r>
      <w:r>
        <w:t xml:space="preserve">v </w:t>
      </w:r>
      <w:r w:rsidRPr="00BD49D6">
        <w:t>let</w:t>
      </w:r>
      <w:r>
        <w:t>u</w:t>
      </w:r>
      <w:r w:rsidRPr="00BD49D6">
        <w:t xml:space="preserve"> </w:t>
      </w:r>
      <w:r>
        <w:t>2019</w:t>
      </w:r>
      <w:r w:rsidRPr="00BD49D6">
        <w:t>)</w:t>
      </w:r>
      <w:r>
        <w:t>.</w:t>
      </w:r>
      <w:r w:rsidRPr="00BD49D6">
        <w:t xml:space="preserve"> Od </w:t>
      </w:r>
      <w:r>
        <w:t>celotne dodane vrednosti samostojnih podjetnikov dejavnosti H</w:t>
      </w:r>
      <w:r w:rsidRPr="00BD49D6">
        <w:t xml:space="preserve"> so največji del, kar 8</w:t>
      </w:r>
      <w:r w:rsidR="00774AF4">
        <w:t>5</w:t>
      </w:r>
      <w:r w:rsidRPr="00BD49D6">
        <w:t> %</w:t>
      </w:r>
      <w:r>
        <w:t>,</w:t>
      </w:r>
      <w:r w:rsidRPr="00BD49D6">
        <w:t xml:space="preserve"> ustvarili podjetniki v dejavnosti cestnega tovornega prometa.</w:t>
      </w:r>
      <w:r>
        <w:t xml:space="preserve"> Delež dodane vrednosti prometne dejavnosti v dodani vrednosti </w:t>
      </w:r>
      <w:r w:rsidR="00FD633C">
        <w:t xml:space="preserve">vseh dejavnosti pa je bil v letu 2023 pri podjetnikih </w:t>
      </w:r>
      <w:r w:rsidR="00206F3C">
        <w:t xml:space="preserve">s 15 % </w:t>
      </w:r>
      <w:r w:rsidR="00FD633C">
        <w:t xml:space="preserve">višji </w:t>
      </w:r>
      <w:r>
        <w:t>kot pri družbah</w:t>
      </w:r>
      <w:r w:rsidR="00206F3C">
        <w:t>.</w:t>
      </w:r>
    </w:p>
  </w:footnote>
  <w:footnote w:id="8">
    <w:p w14:paraId="1D68A3FE" w14:textId="6FABBE7D" w:rsidR="00EB5B30" w:rsidRDefault="00EB5B30" w:rsidP="005603C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6967B5">
        <w:t>Manjšo izgubo so v nekaterih letih občasno že imeli</w:t>
      </w:r>
      <w:r>
        <w:t xml:space="preserve"> taksi</w:t>
      </w:r>
      <w:r w:rsidR="006967B5">
        <w:t>sti in žičničarji, v letu 2023</w:t>
      </w:r>
      <w:r>
        <w:t xml:space="preserve"> </w:t>
      </w:r>
      <w:r w:rsidR="006967B5">
        <w:t xml:space="preserve">pa so jo zabeležili </w:t>
      </w:r>
      <w:r w:rsidR="009A6C20">
        <w:t xml:space="preserve">le </w:t>
      </w:r>
      <w:r w:rsidR="006967B5">
        <w:t>v pomorskem potniškem prometu</w:t>
      </w:r>
      <w:r>
        <w:t xml:space="preserve">. </w:t>
      </w:r>
    </w:p>
  </w:footnote>
  <w:footnote w:id="9">
    <w:p w14:paraId="25F22D31" w14:textId="139889B0" w:rsidR="00EB5B30" w:rsidRPr="00124DB6" w:rsidRDefault="00EB5B30" w:rsidP="007E123C">
      <w:pPr>
        <w:pStyle w:val="DZSprotnaopomba"/>
        <w:rPr>
          <w:sz w:val="16"/>
          <w:szCs w:val="14"/>
        </w:rPr>
      </w:pPr>
      <w:r w:rsidRPr="00E404E6">
        <w:rPr>
          <w:rStyle w:val="Sprotnaopomba-sklic"/>
        </w:rPr>
        <w:footnoteRef/>
      </w:r>
      <w:r w:rsidRPr="00E404E6">
        <w:t xml:space="preserve"> </w:t>
      </w:r>
      <w:r w:rsidRPr="00124DB6">
        <w:rPr>
          <w:sz w:val="16"/>
          <w:szCs w:val="14"/>
        </w:rPr>
        <w:t>V letu 202</w:t>
      </w:r>
      <w:r w:rsidR="00774AF4">
        <w:rPr>
          <w:sz w:val="16"/>
          <w:szCs w:val="14"/>
        </w:rPr>
        <w:t>3</w:t>
      </w:r>
      <w:r w:rsidRPr="00124DB6">
        <w:rPr>
          <w:sz w:val="16"/>
          <w:szCs w:val="14"/>
        </w:rPr>
        <w:t xml:space="preserve"> je v dejavnosti cestni tovorni promet poleg gospodarskih družb, kjer se je zaposlenost nekoliko povečala, poslovalo še 2</w:t>
      </w:r>
      <w:r w:rsidR="00BB3F15">
        <w:rPr>
          <w:sz w:val="16"/>
          <w:szCs w:val="14"/>
        </w:rPr>
        <w:t>.</w:t>
      </w:r>
      <w:r w:rsidRPr="00124DB6">
        <w:rPr>
          <w:sz w:val="16"/>
          <w:szCs w:val="14"/>
        </w:rPr>
        <w:t>50</w:t>
      </w:r>
      <w:r w:rsidR="00774AF4">
        <w:rPr>
          <w:sz w:val="16"/>
          <w:szCs w:val="14"/>
        </w:rPr>
        <w:t>5</w:t>
      </w:r>
      <w:r w:rsidRPr="00124DB6">
        <w:rPr>
          <w:sz w:val="16"/>
          <w:szCs w:val="14"/>
        </w:rPr>
        <w:t xml:space="preserve"> samostojnih podjetnikov, ki so imeli 4</w:t>
      </w:r>
      <w:r w:rsidR="00BB3F15">
        <w:rPr>
          <w:sz w:val="16"/>
          <w:szCs w:val="14"/>
        </w:rPr>
        <w:t>.</w:t>
      </w:r>
      <w:r w:rsidR="00774AF4">
        <w:rPr>
          <w:sz w:val="16"/>
          <w:szCs w:val="14"/>
        </w:rPr>
        <w:t>43</w:t>
      </w:r>
      <w:r w:rsidRPr="00124DB6">
        <w:rPr>
          <w:sz w:val="16"/>
          <w:szCs w:val="14"/>
        </w:rPr>
        <w:t>0 zaposlenih, kar je oboje malo manj v primerjavi z letom 202</w:t>
      </w:r>
      <w:r w:rsidR="00774AF4">
        <w:rPr>
          <w:sz w:val="16"/>
          <w:szCs w:val="14"/>
        </w:rPr>
        <w:t>2</w:t>
      </w:r>
      <w:r w:rsidRPr="00124DB6">
        <w:rPr>
          <w:sz w:val="16"/>
          <w:szCs w:val="14"/>
        </w:rPr>
        <w:t>.</w:t>
      </w:r>
    </w:p>
  </w:footnote>
  <w:footnote w:id="10">
    <w:p w14:paraId="56BC671F" w14:textId="6A4F37BB" w:rsidR="00EB5B30" w:rsidRPr="00D768C0" w:rsidRDefault="00EB5B30" w:rsidP="007E123C">
      <w:pPr>
        <w:pStyle w:val="DZSprotnaopomba"/>
        <w:rPr>
          <w:sz w:val="16"/>
          <w:szCs w:val="16"/>
        </w:rPr>
      </w:pPr>
      <w:r w:rsidRPr="00D768C0">
        <w:rPr>
          <w:rStyle w:val="Sprotnaopomba-sklic"/>
          <w:sz w:val="16"/>
          <w:szCs w:val="16"/>
        </w:rPr>
        <w:footnoteRef/>
      </w:r>
      <w:r w:rsidRPr="00D768C0">
        <w:rPr>
          <w:sz w:val="16"/>
          <w:szCs w:val="16"/>
        </w:rPr>
        <w:t xml:space="preserve"> Zaradi primerljivosti so prišteti zaposleni treh družb, ki zdaj niso več registrirane v železniški dejavnosti, a so bile pred leti sestavni deli enovite družbe Slovenske železnice.</w:t>
      </w:r>
    </w:p>
  </w:footnote>
  <w:footnote w:id="11">
    <w:p w14:paraId="6E895C12" w14:textId="285B1941" w:rsidR="00EB5B30" w:rsidRDefault="00EB5B30" w:rsidP="00E06C1C">
      <w:pPr>
        <w:pStyle w:val="DZSprotnaopomba"/>
      </w:pPr>
      <w:r>
        <w:rPr>
          <w:rStyle w:val="Sprotnaopomba-sklic"/>
        </w:rPr>
        <w:footnoteRef/>
      </w:r>
      <w:r>
        <w:t xml:space="preserve"> V oklepajih navajamo družbe, ki v svojih dejavnostih dosegajo največje in hkrati prevladujoče deleže dodane vrednosti.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2D68" w14:textId="77777777" w:rsidR="00EB5B30" w:rsidRPr="00616671" w:rsidRDefault="00EB5B30" w:rsidP="006166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89A4" w14:textId="77777777" w:rsidR="00616671" w:rsidRDefault="006166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76"/>
      <w:gridCol w:w="796"/>
    </w:tblGrid>
    <w:tr w:rsidR="00616671" w:rsidRPr="00A540FA" w14:paraId="66FD47EF" w14:textId="77777777" w:rsidTr="00287C4E">
      <w:trPr>
        <w:trHeight w:val="552"/>
      </w:trPr>
      <w:tc>
        <w:tcPr>
          <w:tcW w:w="8276" w:type="dxa"/>
        </w:tcPr>
        <w:p w14:paraId="01D4BE51" w14:textId="4C254EC2" w:rsidR="00616671" w:rsidRPr="00F43CB0" w:rsidRDefault="00610F1A" w:rsidP="004016AB">
          <w:pPr>
            <w:pStyle w:val="Glava"/>
            <w:tabs>
              <w:tab w:val="clear" w:pos="4536"/>
              <w:tab w:val="clear" w:pos="9072"/>
              <w:tab w:val="right" w:pos="8276"/>
            </w:tabs>
            <w:spacing w:line="240" w:lineRule="auto"/>
            <w:rPr>
              <w:rFonts w:cstheme="minorHAnsi"/>
              <w:b/>
              <w:sz w:val="16"/>
            </w:rPr>
          </w:pPr>
          <w:r>
            <w:rPr>
              <w:rFonts w:cstheme="minorHAnsi"/>
              <w:b/>
              <w:sz w:val="16"/>
            </w:rPr>
            <w:t xml:space="preserve">UMAR </w:t>
          </w:r>
          <w:r w:rsidRPr="00D23287">
            <w:rPr>
              <w:rFonts w:cstheme="minorHAnsi"/>
              <w:b/>
              <w:spacing w:val="-20"/>
              <w:sz w:val="16"/>
            </w:rPr>
            <w:t xml:space="preserve"> </w:t>
          </w:r>
          <w:r>
            <w:rPr>
              <w:rFonts w:cstheme="minorHAnsi"/>
              <w:b/>
              <w:sz w:val="16"/>
            </w:rPr>
            <w:t xml:space="preserve"> </w:t>
          </w:r>
          <w:r w:rsidRPr="00D23287">
            <w:rPr>
              <w:rFonts w:cstheme="minorHAnsi"/>
              <w:b/>
              <w:color w:val="9E001A" w:themeColor="accent1"/>
              <w:sz w:val="18"/>
              <w:szCs w:val="24"/>
            </w:rPr>
            <w:t>/</w:t>
          </w:r>
          <w:r>
            <w:rPr>
              <w:rFonts w:cstheme="minorHAnsi"/>
              <w:b/>
              <w:sz w:val="16"/>
            </w:rPr>
            <w:t xml:space="preserve">  </w:t>
          </w:r>
          <w:r w:rsidR="00616671">
            <w:rPr>
              <w:rFonts w:cstheme="minorHAnsi"/>
              <w:b/>
              <w:sz w:val="16"/>
            </w:rPr>
            <w:t>Poslovanje gospodarskih družb prometa in skladiščenja do leta 2023</w:t>
          </w:r>
          <w:r w:rsidR="00616671">
            <w:rPr>
              <w:rFonts w:cstheme="minorHAnsi"/>
              <w:b/>
              <w:sz w:val="16"/>
            </w:rPr>
            <w:tab/>
          </w:r>
        </w:p>
      </w:tc>
      <w:tc>
        <w:tcPr>
          <w:tcW w:w="796" w:type="dxa"/>
        </w:tcPr>
        <w:p w14:paraId="5995E84A" w14:textId="77777777" w:rsidR="00616671" w:rsidRPr="00B607E3" w:rsidRDefault="00616671" w:rsidP="007444EC">
          <w:pPr>
            <w:pStyle w:val="Glava"/>
            <w:tabs>
              <w:tab w:val="left" w:pos="332"/>
              <w:tab w:val="center" w:pos="398"/>
              <w:tab w:val="right" w:pos="511"/>
              <w:tab w:val="right" w:pos="796"/>
            </w:tabs>
            <w:jc w:val="right"/>
            <w:rPr>
              <w:rFonts w:cstheme="minorHAnsi"/>
              <w:b/>
              <w:sz w:val="16"/>
              <w:szCs w:val="16"/>
            </w:rPr>
          </w:pPr>
          <w:r w:rsidRPr="00B607E3">
            <w:rPr>
              <w:rFonts w:cstheme="minorHAnsi"/>
              <w:b/>
              <w:sz w:val="16"/>
              <w:szCs w:val="16"/>
            </w:rPr>
            <w:fldChar w:fldCharType="begin"/>
          </w:r>
          <w:r w:rsidRPr="00B607E3">
            <w:rPr>
              <w:rFonts w:cstheme="minorHAnsi"/>
              <w:b/>
              <w:sz w:val="16"/>
              <w:szCs w:val="16"/>
            </w:rPr>
            <w:instrText xml:space="preserve"> PAGE  \* Arabic  \* MERGEFORMAT </w:instrText>
          </w:r>
          <w:r w:rsidRPr="00B607E3">
            <w:rPr>
              <w:rFonts w:cstheme="minorHAnsi"/>
              <w:b/>
              <w:sz w:val="16"/>
              <w:szCs w:val="16"/>
            </w:rPr>
            <w:fldChar w:fldCharType="separate"/>
          </w:r>
          <w:r>
            <w:rPr>
              <w:rFonts w:cstheme="minorHAnsi"/>
              <w:b/>
              <w:noProof/>
              <w:sz w:val="16"/>
              <w:szCs w:val="16"/>
            </w:rPr>
            <w:t>3</w:t>
          </w:r>
          <w:r w:rsidRPr="00B607E3">
            <w:rPr>
              <w:rFonts w:cstheme="minorHAnsi"/>
              <w:b/>
              <w:sz w:val="16"/>
              <w:szCs w:val="16"/>
            </w:rPr>
            <w:fldChar w:fldCharType="end"/>
          </w:r>
        </w:p>
      </w:tc>
    </w:tr>
  </w:tbl>
  <w:p w14:paraId="1DBD7FA2" w14:textId="77777777" w:rsidR="00616671" w:rsidRDefault="00616671" w:rsidP="00610F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9AC"/>
    <w:multiLevelType w:val="hybridMultilevel"/>
    <w:tmpl w:val="409ABE48"/>
    <w:lvl w:ilvl="0" w:tplc="4ABEB3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4772"/>
    <w:multiLevelType w:val="hybridMultilevel"/>
    <w:tmpl w:val="4208815A"/>
    <w:lvl w:ilvl="0" w:tplc="9C607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CD8"/>
    <w:multiLevelType w:val="multilevel"/>
    <w:tmpl w:val="3E48A548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CB66A94"/>
    <w:multiLevelType w:val="singleLevel"/>
    <w:tmpl w:val="BEAE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077666">
    <w:abstractNumId w:val="3"/>
  </w:num>
  <w:num w:numId="2" w16cid:durableId="385221781">
    <w:abstractNumId w:val="2"/>
  </w:num>
  <w:num w:numId="3" w16cid:durableId="882449903">
    <w:abstractNumId w:val="0"/>
  </w:num>
  <w:num w:numId="4" w16cid:durableId="193478099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hideSpellingErrors/>
  <w:hideGrammaticalErrors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47"/>
    <w:rsid w:val="00001542"/>
    <w:rsid w:val="000026EC"/>
    <w:rsid w:val="00002725"/>
    <w:rsid w:val="00002CAF"/>
    <w:rsid w:val="000032F1"/>
    <w:rsid w:val="00003E9D"/>
    <w:rsid w:val="00003EFA"/>
    <w:rsid w:val="00004DAC"/>
    <w:rsid w:val="00006657"/>
    <w:rsid w:val="00006975"/>
    <w:rsid w:val="00006BC6"/>
    <w:rsid w:val="000071B5"/>
    <w:rsid w:val="00007719"/>
    <w:rsid w:val="000118CB"/>
    <w:rsid w:val="000135C1"/>
    <w:rsid w:val="00013848"/>
    <w:rsid w:val="000141E1"/>
    <w:rsid w:val="00014DA7"/>
    <w:rsid w:val="00020CDA"/>
    <w:rsid w:val="00021509"/>
    <w:rsid w:val="00021FDB"/>
    <w:rsid w:val="00023A5C"/>
    <w:rsid w:val="00023FFD"/>
    <w:rsid w:val="0002452C"/>
    <w:rsid w:val="00024C2D"/>
    <w:rsid w:val="00024EBE"/>
    <w:rsid w:val="00024FA0"/>
    <w:rsid w:val="000267E2"/>
    <w:rsid w:val="00026ACB"/>
    <w:rsid w:val="0003011B"/>
    <w:rsid w:val="00031715"/>
    <w:rsid w:val="00031EB2"/>
    <w:rsid w:val="000328B7"/>
    <w:rsid w:val="00033FF7"/>
    <w:rsid w:val="00035FBD"/>
    <w:rsid w:val="000365D0"/>
    <w:rsid w:val="0003751E"/>
    <w:rsid w:val="00037DDD"/>
    <w:rsid w:val="0004147D"/>
    <w:rsid w:val="00041A48"/>
    <w:rsid w:val="00041BCA"/>
    <w:rsid w:val="00042B8F"/>
    <w:rsid w:val="000438D4"/>
    <w:rsid w:val="00043FF1"/>
    <w:rsid w:val="00046F18"/>
    <w:rsid w:val="000477F0"/>
    <w:rsid w:val="0004798B"/>
    <w:rsid w:val="000541B0"/>
    <w:rsid w:val="00054645"/>
    <w:rsid w:val="0005475A"/>
    <w:rsid w:val="000547F0"/>
    <w:rsid w:val="00055111"/>
    <w:rsid w:val="0005690B"/>
    <w:rsid w:val="000572B9"/>
    <w:rsid w:val="000578BD"/>
    <w:rsid w:val="00057C74"/>
    <w:rsid w:val="00060302"/>
    <w:rsid w:val="00060864"/>
    <w:rsid w:val="00061306"/>
    <w:rsid w:val="0006200A"/>
    <w:rsid w:val="000647B7"/>
    <w:rsid w:val="00065908"/>
    <w:rsid w:val="000660F6"/>
    <w:rsid w:val="00066A45"/>
    <w:rsid w:val="00066E95"/>
    <w:rsid w:val="0007025B"/>
    <w:rsid w:val="00070B55"/>
    <w:rsid w:val="0007162D"/>
    <w:rsid w:val="000719B8"/>
    <w:rsid w:val="00072C5A"/>
    <w:rsid w:val="00072E0A"/>
    <w:rsid w:val="000731A1"/>
    <w:rsid w:val="0007354C"/>
    <w:rsid w:val="00075D73"/>
    <w:rsid w:val="00077993"/>
    <w:rsid w:val="00077C63"/>
    <w:rsid w:val="00077E9C"/>
    <w:rsid w:val="0008109A"/>
    <w:rsid w:val="000835EB"/>
    <w:rsid w:val="000839C8"/>
    <w:rsid w:val="00083E22"/>
    <w:rsid w:val="00084484"/>
    <w:rsid w:val="000844BC"/>
    <w:rsid w:val="00084A7F"/>
    <w:rsid w:val="000918F3"/>
    <w:rsid w:val="0009247A"/>
    <w:rsid w:val="000929C6"/>
    <w:rsid w:val="00092DA8"/>
    <w:rsid w:val="000936DA"/>
    <w:rsid w:val="0009508D"/>
    <w:rsid w:val="00096872"/>
    <w:rsid w:val="000968B4"/>
    <w:rsid w:val="000969D0"/>
    <w:rsid w:val="00096C7C"/>
    <w:rsid w:val="00096DB6"/>
    <w:rsid w:val="000970E8"/>
    <w:rsid w:val="00097BF5"/>
    <w:rsid w:val="00097C81"/>
    <w:rsid w:val="000A0811"/>
    <w:rsid w:val="000A117A"/>
    <w:rsid w:val="000A142C"/>
    <w:rsid w:val="000A1F78"/>
    <w:rsid w:val="000A2A84"/>
    <w:rsid w:val="000A4021"/>
    <w:rsid w:val="000A4363"/>
    <w:rsid w:val="000A528A"/>
    <w:rsid w:val="000A5C81"/>
    <w:rsid w:val="000A60E0"/>
    <w:rsid w:val="000A6851"/>
    <w:rsid w:val="000A6E55"/>
    <w:rsid w:val="000A70D5"/>
    <w:rsid w:val="000A770A"/>
    <w:rsid w:val="000A78C0"/>
    <w:rsid w:val="000B08F3"/>
    <w:rsid w:val="000B0C7C"/>
    <w:rsid w:val="000B1412"/>
    <w:rsid w:val="000B177F"/>
    <w:rsid w:val="000B1E80"/>
    <w:rsid w:val="000B2CC4"/>
    <w:rsid w:val="000B3619"/>
    <w:rsid w:val="000B3861"/>
    <w:rsid w:val="000B48FF"/>
    <w:rsid w:val="000B4C28"/>
    <w:rsid w:val="000B52C9"/>
    <w:rsid w:val="000B55AF"/>
    <w:rsid w:val="000B5D9D"/>
    <w:rsid w:val="000B6850"/>
    <w:rsid w:val="000B75F3"/>
    <w:rsid w:val="000B78BD"/>
    <w:rsid w:val="000C0D09"/>
    <w:rsid w:val="000C1ABB"/>
    <w:rsid w:val="000C1C5A"/>
    <w:rsid w:val="000C2817"/>
    <w:rsid w:val="000C2CAF"/>
    <w:rsid w:val="000C43BF"/>
    <w:rsid w:val="000C4E62"/>
    <w:rsid w:val="000C4E8C"/>
    <w:rsid w:val="000C5063"/>
    <w:rsid w:val="000C6316"/>
    <w:rsid w:val="000C66F6"/>
    <w:rsid w:val="000C7BFF"/>
    <w:rsid w:val="000D0AF5"/>
    <w:rsid w:val="000D0C8F"/>
    <w:rsid w:val="000D0DA7"/>
    <w:rsid w:val="000D1357"/>
    <w:rsid w:val="000D1E72"/>
    <w:rsid w:val="000D3647"/>
    <w:rsid w:val="000D4CA8"/>
    <w:rsid w:val="000E02E6"/>
    <w:rsid w:val="000E0B25"/>
    <w:rsid w:val="000E1358"/>
    <w:rsid w:val="000E22C8"/>
    <w:rsid w:val="000E335A"/>
    <w:rsid w:val="000E33B4"/>
    <w:rsid w:val="000E33B7"/>
    <w:rsid w:val="000E3BEC"/>
    <w:rsid w:val="000E70CE"/>
    <w:rsid w:val="000E71A0"/>
    <w:rsid w:val="000E7B27"/>
    <w:rsid w:val="000E7BCB"/>
    <w:rsid w:val="000F0B06"/>
    <w:rsid w:val="000F128C"/>
    <w:rsid w:val="000F23D6"/>
    <w:rsid w:val="000F2B1C"/>
    <w:rsid w:val="000F37C8"/>
    <w:rsid w:val="000F41F7"/>
    <w:rsid w:val="000F49EB"/>
    <w:rsid w:val="000F54C5"/>
    <w:rsid w:val="000F6F5D"/>
    <w:rsid w:val="000F6FC2"/>
    <w:rsid w:val="00100DB9"/>
    <w:rsid w:val="00100F4C"/>
    <w:rsid w:val="00102453"/>
    <w:rsid w:val="00102756"/>
    <w:rsid w:val="0010366B"/>
    <w:rsid w:val="0010490A"/>
    <w:rsid w:val="0010507E"/>
    <w:rsid w:val="00105A87"/>
    <w:rsid w:val="00105D95"/>
    <w:rsid w:val="00106069"/>
    <w:rsid w:val="00106B4D"/>
    <w:rsid w:val="00106BE5"/>
    <w:rsid w:val="00107385"/>
    <w:rsid w:val="00107A6B"/>
    <w:rsid w:val="00107A7C"/>
    <w:rsid w:val="00110C49"/>
    <w:rsid w:val="00110FEB"/>
    <w:rsid w:val="0011391E"/>
    <w:rsid w:val="0011476E"/>
    <w:rsid w:val="0011504B"/>
    <w:rsid w:val="00115051"/>
    <w:rsid w:val="001153EC"/>
    <w:rsid w:val="0011551D"/>
    <w:rsid w:val="00115AE2"/>
    <w:rsid w:val="00116B03"/>
    <w:rsid w:val="001170C5"/>
    <w:rsid w:val="00117115"/>
    <w:rsid w:val="001172AC"/>
    <w:rsid w:val="00117342"/>
    <w:rsid w:val="0011783D"/>
    <w:rsid w:val="00120799"/>
    <w:rsid w:val="00121772"/>
    <w:rsid w:val="00123CD6"/>
    <w:rsid w:val="001249EF"/>
    <w:rsid w:val="00124C9D"/>
    <w:rsid w:val="00124DB6"/>
    <w:rsid w:val="00125018"/>
    <w:rsid w:val="00125147"/>
    <w:rsid w:val="00126342"/>
    <w:rsid w:val="00127B1E"/>
    <w:rsid w:val="00130A1A"/>
    <w:rsid w:val="00132169"/>
    <w:rsid w:val="0013312D"/>
    <w:rsid w:val="00133B1D"/>
    <w:rsid w:val="00133FFD"/>
    <w:rsid w:val="0013548A"/>
    <w:rsid w:val="00135CF8"/>
    <w:rsid w:val="00137610"/>
    <w:rsid w:val="00137AB5"/>
    <w:rsid w:val="001406F5"/>
    <w:rsid w:val="00140706"/>
    <w:rsid w:val="001409EA"/>
    <w:rsid w:val="00141E1A"/>
    <w:rsid w:val="001439B8"/>
    <w:rsid w:val="00143E7F"/>
    <w:rsid w:val="00143F8E"/>
    <w:rsid w:val="00143FEB"/>
    <w:rsid w:val="0014420D"/>
    <w:rsid w:val="001455D8"/>
    <w:rsid w:val="00147D51"/>
    <w:rsid w:val="001504EB"/>
    <w:rsid w:val="00150E9F"/>
    <w:rsid w:val="0015528E"/>
    <w:rsid w:val="001554D4"/>
    <w:rsid w:val="00156240"/>
    <w:rsid w:val="00161445"/>
    <w:rsid w:val="00161611"/>
    <w:rsid w:val="0016173F"/>
    <w:rsid w:val="00162561"/>
    <w:rsid w:val="001652BC"/>
    <w:rsid w:val="00165810"/>
    <w:rsid w:val="00166F67"/>
    <w:rsid w:val="001673B5"/>
    <w:rsid w:val="001673FC"/>
    <w:rsid w:val="001702B7"/>
    <w:rsid w:val="001709CB"/>
    <w:rsid w:val="00170FA1"/>
    <w:rsid w:val="00175219"/>
    <w:rsid w:val="00175D93"/>
    <w:rsid w:val="001764AB"/>
    <w:rsid w:val="001770F0"/>
    <w:rsid w:val="00177222"/>
    <w:rsid w:val="001800CD"/>
    <w:rsid w:val="00181502"/>
    <w:rsid w:val="00181CCA"/>
    <w:rsid w:val="001831E1"/>
    <w:rsid w:val="00184842"/>
    <w:rsid w:val="0018519C"/>
    <w:rsid w:val="00187611"/>
    <w:rsid w:val="001908FD"/>
    <w:rsid w:val="00190C24"/>
    <w:rsid w:val="001910C2"/>
    <w:rsid w:val="001917B6"/>
    <w:rsid w:val="00192EC7"/>
    <w:rsid w:val="00193714"/>
    <w:rsid w:val="00195F97"/>
    <w:rsid w:val="00197127"/>
    <w:rsid w:val="0019720D"/>
    <w:rsid w:val="0019756E"/>
    <w:rsid w:val="00197686"/>
    <w:rsid w:val="00197C9A"/>
    <w:rsid w:val="001A0885"/>
    <w:rsid w:val="001A1629"/>
    <w:rsid w:val="001A484F"/>
    <w:rsid w:val="001A4AFD"/>
    <w:rsid w:val="001A7CD6"/>
    <w:rsid w:val="001B094A"/>
    <w:rsid w:val="001B0E8C"/>
    <w:rsid w:val="001B15CD"/>
    <w:rsid w:val="001B1E3D"/>
    <w:rsid w:val="001B233E"/>
    <w:rsid w:val="001B2B4F"/>
    <w:rsid w:val="001B2F40"/>
    <w:rsid w:val="001B4ACA"/>
    <w:rsid w:val="001B5BF7"/>
    <w:rsid w:val="001B6398"/>
    <w:rsid w:val="001B6D82"/>
    <w:rsid w:val="001C20B3"/>
    <w:rsid w:val="001C317E"/>
    <w:rsid w:val="001C3A0A"/>
    <w:rsid w:val="001C45CE"/>
    <w:rsid w:val="001C487D"/>
    <w:rsid w:val="001C4D46"/>
    <w:rsid w:val="001C5AF2"/>
    <w:rsid w:val="001C7351"/>
    <w:rsid w:val="001D0A6E"/>
    <w:rsid w:val="001D0B2F"/>
    <w:rsid w:val="001D1834"/>
    <w:rsid w:val="001D330F"/>
    <w:rsid w:val="001D3A3F"/>
    <w:rsid w:val="001D42DE"/>
    <w:rsid w:val="001D4B79"/>
    <w:rsid w:val="001D65E7"/>
    <w:rsid w:val="001D663D"/>
    <w:rsid w:val="001E0797"/>
    <w:rsid w:val="001E07FD"/>
    <w:rsid w:val="001E0960"/>
    <w:rsid w:val="001E0FB8"/>
    <w:rsid w:val="001E2C09"/>
    <w:rsid w:val="001E324E"/>
    <w:rsid w:val="001E53FE"/>
    <w:rsid w:val="001E55C4"/>
    <w:rsid w:val="001E5845"/>
    <w:rsid w:val="001E7BEE"/>
    <w:rsid w:val="001E7C46"/>
    <w:rsid w:val="001F0482"/>
    <w:rsid w:val="001F1537"/>
    <w:rsid w:val="001F166C"/>
    <w:rsid w:val="001F1F26"/>
    <w:rsid w:val="001F3736"/>
    <w:rsid w:val="001F379C"/>
    <w:rsid w:val="001F52EE"/>
    <w:rsid w:val="001F60CF"/>
    <w:rsid w:val="001F62CF"/>
    <w:rsid w:val="001F6498"/>
    <w:rsid w:val="001F71C5"/>
    <w:rsid w:val="00200FF5"/>
    <w:rsid w:val="00203C04"/>
    <w:rsid w:val="00205616"/>
    <w:rsid w:val="00205C2F"/>
    <w:rsid w:val="00206F3C"/>
    <w:rsid w:val="002111FC"/>
    <w:rsid w:val="00212697"/>
    <w:rsid w:val="00212DBF"/>
    <w:rsid w:val="00213247"/>
    <w:rsid w:val="00214084"/>
    <w:rsid w:val="00214A8B"/>
    <w:rsid w:val="00215863"/>
    <w:rsid w:val="002163A7"/>
    <w:rsid w:val="00217065"/>
    <w:rsid w:val="00217E32"/>
    <w:rsid w:val="00220A86"/>
    <w:rsid w:val="00220E84"/>
    <w:rsid w:val="00222317"/>
    <w:rsid w:val="002225D3"/>
    <w:rsid w:val="00225170"/>
    <w:rsid w:val="0022533F"/>
    <w:rsid w:val="002257A9"/>
    <w:rsid w:val="0023097E"/>
    <w:rsid w:val="00230DE5"/>
    <w:rsid w:val="00232BBE"/>
    <w:rsid w:val="00234288"/>
    <w:rsid w:val="0023463D"/>
    <w:rsid w:val="0023489F"/>
    <w:rsid w:val="00234DFD"/>
    <w:rsid w:val="00235E12"/>
    <w:rsid w:val="00242180"/>
    <w:rsid w:val="00242897"/>
    <w:rsid w:val="00243D25"/>
    <w:rsid w:val="002448D1"/>
    <w:rsid w:val="00244B48"/>
    <w:rsid w:val="00244CC1"/>
    <w:rsid w:val="00244E0B"/>
    <w:rsid w:val="00246C41"/>
    <w:rsid w:val="0024703D"/>
    <w:rsid w:val="00247147"/>
    <w:rsid w:val="00250B99"/>
    <w:rsid w:val="00251C4C"/>
    <w:rsid w:val="00252660"/>
    <w:rsid w:val="00252F81"/>
    <w:rsid w:val="002531D4"/>
    <w:rsid w:val="00253567"/>
    <w:rsid w:val="002572F0"/>
    <w:rsid w:val="002577FF"/>
    <w:rsid w:val="00257DE6"/>
    <w:rsid w:val="0026282C"/>
    <w:rsid w:val="002628DA"/>
    <w:rsid w:val="00263E3D"/>
    <w:rsid w:val="0026589C"/>
    <w:rsid w:val="00265B02"/>
    <w:rsid w:val="00265DFA"/>
    <w:rsid w:val="00265E7B"/>
    <w:rsid w:val="00266B89"/>
    <w:rsid w:val="00267F1B"/>
    <w:rsid w:val="00272C68"/>
    <w:rsid w:val="0027442B"/>
    <w:rsid w:val="00274A6B"/>
    <w:rsid w:val="002750B5"/>
    <w:rsid w:val="00275B5B"/>
    <w:rsid w:val="00275CAC"/>
    <w:rsid w:val="002800D2"/>
    <w:rsid w:val="00281355"/>
    <w:rsid w:val="002824ED"/>
    <w:rsid w:val="00282A01"/>
    <w:rsid w:val="00285479"/>
    <w:rsid w:val="00287871"/>
    <w:rsid w:val="00287C4E"/>
    <w:rsid w:val="00287FC3"/>
    <w:rsid w:val="002901C9"/>
    <w:rsid w:val="002904E4"/>
    <w:rsid w:val="00291052"/>
    <w:rsid w:val="00291B55"/>
    <w:rsid w:val="0029204B"/>
    <w:rsid w:val="002921E7"/>
    <w:rsid w:val="00292500"/>
    <w:rsid w:val="002947A6"/>
    <w:rsid w:val="002948C4"/>
    <w:rsid w:val="00294CBF"/>
    <w:rsid w:val="00295489"/>
    <w:rsid w:val="00296174"/>
    <w:rsid w:val="00296655"/>
    <w:rsid w:val="00296ADF"/>
    <w:rsid w:val="00296B59"/>
    <w:rsid w:val="002A0E59"/>
    <w:rsid w:val="002A1940"/>
    <w:rsid w:val="002A32B2"/>
    <w:rsid w:val="002A368E"/>
    <w:rsid w:val="002A4356"/>
    <w:rsid w:val="002A4DCB"/>
    <w:rsid w:val="002A5048"/>
    <w:rsid w:val="002A6C39"/>
    <w:rsid w:val="002A6C97"/>
    <w:rsid w:val="002A7EEA"/>
    <w:rsid w:val="002B06FB"/>
    <w:rsid w:val="002B071D"/>
    <w:rsid w:val="002B0D77"/>
    <w:rsid w:val="002B2C12"/>
    <w:rsid w:val="002B3773"/>
    <w:rsid w:val="002B3890"/>
    <w:rsid w:val="002B3FA8"/>
    <w:rsid w:val="002B57FE"/>
    <w:rsid w:val="002B5937"/>
    <w:rsid w:val="002B5A12"/>
    <w:rsid w:val="002B5D48"/>
    <w:rsid w:val="002B631F"/>
    <w:rsid w:val="002C0D76"/>
    <w:rsid w:val="002C2076"/>
    <w:rsid w:val="002C42D3"/>
    <w:rsid w:val="002C4717"/>
    <w:rsid w:val="002C489B"/>
    <w:rsid w:val="002C58BD"/>
    <w:rsid w:val="002C6B43"/>
    <w:rsid w:val="002C7D2A"/>
    <w:rsid w:val="002C7DC6"/>
    <w:rsid w:val="002D0D1B"/>
    <w:rsid w:val="002D111A"/>
    <w:rsid w:val="002D1D30"/>
    <w:rsid w:val="002D3ED5"/>
    <w:rsid w:val="002D4281"/>
    <w:rsid w:val="002D460E"/>
    <w:rsid w:val="002D4B8B"/>
    <w:rsid w:val="002D5102"/>
    <w:rsid w:val="002D7C8B"/>
    <w:rsid w:val="002E032A"/>
    <w:rsid w:val="002E1EC2"/>
    <w:rsid w:val="002E2A8E"/>
    <w:rsid w:val="002E37AA"/>
    <w:rsid w:val="002E3AEB"/>
    <w:rsid w:val="002E45C6"/>
    <w:rsid w:val="002E63B2"/>
    <w:rsid w:val="002E7575"/>
    <w:rsid w:val="002F0A04"/>
    <w:rsid w:val="002F36AC"/>
    <w:rsid w:val="002F39E2"/>
    <w:rsid w:val="002F5049"/>
    <w:rsid w:val="002F5D0F"/>
    <w:rsid w:val="002F62CB"/>
    <w:rsid w:val="002F62F8"/>
    <w:rsid w:val="002F7958"/>
    <w:rsid w:val="002F7B95"/>
    <w:rsid w:val="0030011D"/>
    <w:rsid w:val="00301272"/>
    <w:rsid w:val="003014DC"/>
    <w:rsid w:val="0030159B"/>
    <w:rsid w:val="00303C9F"/>
    <w:rsid w:val="00305924"/>
    <w:rsid w:val="00305B1E"/>
    <w:rsid w:val="00306706"/>
    <w:rsid w:val="00310D3B"/>
    <w:rsid w:val="003119D2"/>
    <w:rsid w:val="00312AC2"/>
    <w:rsid w:val="00313901"/>
    <w:rsid w:val="003142A5"/>
    <w:rsid w:val="00314387"/>
    <w:rsid w:val="00315406"/>
    <w:rsid w:val="0031550F"/>
    <w:rsid w:val="003163B7"/>
    <w:rsid w:val="00317198"/>
    <w:rsid w:val="00322952"/>
    <w:rsid w:val="00330829"/>
    <w:rsid w:val="0033107B"/>
    <w:rsid w:val="003312A2"/>
    <w:rsid w:val="00331B72"/>
    <w:rsid w:val="003338B0"/>
    <w:rsid w:val="00334607"/>
    <w:rsid w:val="0033628B"/>
    <w:rsid w:val="00336505"/>
    <w:rsid w:val="00336896"/>
    <w:rsid w:val="00336899"/>
    <w:rsid w:val="00340546"/>
    <w:rsid w:val="0034152B"/>
    <w:rsid w:val="00341E37"/>
    <w:rsid w:val="00341EEF"/>
    <w:rsid w:val="00343039"/>
    <w:rsid w:val="003435D8"/>
    <w:rsid w:val="003445AA"/>
    <w:rsid w:val="00344940"/>
    <w:rsid w:val="00344FE4"/>
    <w:rsid w:val="00345E02"/>
    <w:rsid w:val="00347515"/>
    <w:rsid w:val="0035126D"/>
    <w:rsid w:val="00351BD0"/>
    <w:rsid w:val="00351F0A"/>
    <w:rsid w:val="00352023"/>
    <w:rsid w:val="003529F5"/>
    <w:rsid w:val="00352C0E"/>
    <w:rsid w:val="00353175"/>
    <w:rsid w:val="00353D73"/>
    <w:rsid w:val="00354A68"/>
    <w:rsid w:val="00355059"/>
    <w:rsid w:val="00355273"/>
    <w:rsid w:val="00355A64"/>
    <w:rsid w:val="00355D20"/>
    <w:rsid w:val="00355D96"/>
    <w:rsid w:val="003614B3"/>
    <w:rsid w:val="00362CD2"/>
    <w:rsid w:val="00362DFE"/>
    <w:rsid w:val="00363A1A"/>
    <w:rsid w:val="00364CEA"/>
    <w:rsid w:val="003656BC"/>
    <w:rsid w:val="00365B36"/>
    <w:rsid w:val="00365CA9"/>
    <w:rsid w:val="003663C9"/>
    <w:rsid w:val="00367549"/>
    <w:rsid w:val="00370E6A"/>
    <w:rsid w:val="0037269C"/>
    <w:rsid w:val="00373951"/>
    <w:rsid w:val="00373E63"/>
    <w:rsid w:val="00374073"/>
    <w:rsid w:val="00374268"/>
    <w:rsid w:val="003743DD"/>
    <w:rsid w:val="00374A64"/>
    <w:rsid w:val="00375C3D"/>
    <w:rsid w:val="00375F4D"/>
    <w:rsid w:val="00376234"/>
    <w:rsid w:val="00377B66"/>
    <w:rsid w:val="00380DEB"/>
    <w:rsid w:val="003813A3"/>
    <w:rsid w:val="00382115"/>
    <w:rsid w:val="00383F11"/>
    <w:rsid w:val="003844E5"/>
    <w:rsid w:val="00385490"/>
    <w:rsid w:val="00386ACD"/>
    <w:rsid w:val="0038783C"/>
    <w:rsid w:val="00387EDF"/>
    <w:rsid w:val="00390A78"/>
    <w:rsid w:val="003911B5"/>
    <w:rsid w:val="00391645"/>
    <w:rsid w:val="003926AD"/>
    <w:rsid w:val="003936E4"/>
    <w:rsid w:val="00394200"/>
    <w:rsid w:val="003944B6"/>
    <w:rsid w:val="00394B17"/>
    <w:rsid w:val="00395593"/>
    <w:rsid w:val="00396660"/>
    <w:rsid w:val="00397292"/>
    <w:rsid w:val="003A130C"/>
    <w:rsid w:val="003A1CC3"/>
    <w:rsid w:val="003A1E53"/>
    <w:rsid w:val="003A2AD6"/>
    <w:rsid w:val="003A2B8A"/>
    <w:rsid w:val="003A2EB1"/>
    <w:rsid w:val="003A31D4"/>
    <w:rsid w:val="003A4B98"/>
    <w:rsid w:val="003A4C58"/>
    <w:rsid w:val="003A50D2"/>
    <w:rsid w:val="003A5848"/>
    <w:rsid w:val="003A6C2F"/>
    <w:rsid w:val="003A7D45"/>
    <w:rsid w:val="003A7F44"/>
    <w:rsid w:val="003B09C9"/>
    <w:rsid w:val="003B1BDA"/>
    <w:rsid w:val="003B2E0E"/>
    <w:rsid w:val="003B3D3D"/>
    <w:rsid w:val="003B49AF"/>
    <w:rsid w:val="003B5BB8"/>
    <w:rsid w:val="003B5F73"/>
    <w:rsid w:val="003B6338"/>
    <w:rsid w:val="003B64A5"/>
    <w:rsid w:val="003B7CD1"/>
    <w:rsid w:val="003C0666"/>
    <w:rsid w:val="003C2C5C"/>
    <w:rsid w:val="003C2EEC"/>
    <w:rsid w:val="003C3E4B"/>
    <w:rsid w:val="003D1FD9"/>
    <w:rsid w:val="003D2EFD"/>
    <w:rsid w:val="003D39EE"/>
    <w:rsid w:val="003D431F"/>
    <w:rsid w:val="003D4A07"/>
    <w:rsid w:val="003D65E1"/>
    <w:rsid w:val="003D6DE9"/>
    <w:rsid w:val="003D7343"/>
    <w:rsid w:val="003D7EE3"/>
    <w:rsid w:val="003E0B22"/>
    <w:rsid w:val="003E193D"/>
    <w:rsid w:val="003E1A92"/>
    <w:rsid w:val="003E1CBE"/>
    <w:rsid w:val="003E1D01"/>
    <w:rsid w:val="003E2BA4"/>
    <w:rsid w:val="003E31F6"/>
    <w:rsid w:val="003E3A2D"/>
    <w:rsid w:val="003E4990"/>
    <w:rsid w:val="003E59E0"/>
    <w:rsid w:val="003E5C63"/>
    <w:rsid w:val="003E627F"/>
    <w:rsid w:val="003E6DB6"/>
    <w:rsid w:val="003E7504"/>
    <w:rsid w:val="003F058C"/>
    <w:rsid w:val="003F090C"/>
    <w:rsid w:val="003F18D2"/>
    <w:rsid w:val="003F1B14"/>
    <w:rsid w:val="003F1D22"/>
    <w:rsid w:val="003F26A8"/>
    <w:rsid w:val="003F33CD"/>
    <w:rsid w:val="003F3E8D"/>
    <w:rsid w:val="003F423B"/>
    <w:rsid w:val="003F5FD3"/>
    <w:rsid w:val="003F6AB1"/>
    <w:rsid w:val="003F7762"/>
    <w:rsid w:val="003F7A77"/>
    <w:rsid w:val="00400465"/>
    <w:rsid w:val="00400DE5"/>
    <w:rsid w:val="004016AB"/>
    <w:rsid w:val="00402400"/>
    <w:rsid w:val="00402540"/>
    <w:rsid w:val="0040263D"/>
    <w:rsid w:val="004029BB"/>
    <w:rsid w:val="00402B00"/>
    <w:rsid w:val="00402C91"/>
    <w:rsid w:val="00404473"/>
    <w:rsid w:val="00404841"/>
    <w:rsid w:val="004049B7"/>
    <w:rsid w:val="004064B9"/>
    <w:rsid w:val="0040674C"/>
    <w:rsid w:val="00407C0D"/>
    <w:rsid w:val="00407E3C"/>
    <w:rsid w:val="00407E4C"/>
    <w:rsid w:val="00410DE0"/>
    <w:rsid w:val="00411572"/>
    <w:rsid w:val="00411FE9"/>
    <w:rsid w:val="0041228F"/>
    <w:rsid w:val="00413A61"/>
    <w:rsid w:val="00413B12"/>
    <w:rsid w:val="004155C8"/>
    <w:rsid w:val="00415D75"/>
    <w:rsid w:val="00416D9C"/>
    <w:rsid w:val="00421D8D"/>
    <w:rsid w:val="0042350D"/>
    <w:rsid w:val="00423D6C"/>
    <w:rsid w:val="004248C0"/>
    <w:rsid w:val="0042577D"/>
    <w:rsid w:val="00427A4E"/>
    <w:rsid w:val="00427E7B"/>
    <w:rsid w:val="0043066B"/>
    <w:rsid w:val="00430947"/>
    <w:rsid w:val="00430A00"/>
    <w:rsid w:val="004316F7"/>
    <w:rsid w:val="00431FB3"/>
    <w:rsid w:val="00433EC8"/>
    <w:rsid w:val="00433F7B"/>
    <w:rsid w:val="00435423"/>
    <w:rsid w:val="004357E4"/>
    <w:rsid w:val="00437CB6"/>
    <w:rsid w:val="00440FB2"/>
    <w:rsid w:val="00441504"/>
    <w:rsid w:val="0044183A"/>
    <w:rsid w:val="0044242E"/>
    <w:rsid w:val="0044421E"/>
    <w:rsid w:val="004448D1"/>
    <w:rsid w:val="00444D6E"/>
    <w:rsid w:val="00445B68"/>
    <w:rsid w:val="00446186"/>
    <w:rsid w:val="00446AC4"/>
    <w:rsid w:val="0044754D"/>
    <w:rsid w:val="00447A71"/>
    <w:rsid w:val="00451CA3"/>
    <w:rsid w:val="00452B84"/>
    <w:rsid w:val="00453F56"/>
    <w:rsid w:val="00454415"/>
    <w:rsid w:val="00454751"/>
    <w:rsid w:val="00456AF0"/>
    <w:rsid w:val="00457C59"/>
    <w:rsid w:val="004610CF"/>
    <w:rsid w:val="00461535"/>
    <w:rsid w:val="00461EF3"/>
    <w:rsid w:val="00463654"/>
    <w:rsid w:val="0046366D"/>
    <w:rsid w:val="00463D53"/>
    <w:rsid w:val="00464472"/>
    <w:rsid w:val="00465343"/>
    <w:rsid w:val="00467B42"/>
    <w:rsid w:val="00470031"/>
    <w:rsid w:val="00471237"/>
    <w:rsid w:val="00471568"/>
    <w:rsid w:val="00471713"/>
    <w:rsid w:val="00471D85"/>
    <w:rsid w:val="00471F0D"/>
    <w:rsid w:val="004730B8"/>
    <w:rsid w:val="00474F4F"/>
    <w:rsid w:val="0047533F"/>
    <w:rsid w:val="00475585"/>
    <w:rsid w:val="0047635E"/>
    <w:rsid w:val="004774EA"/>
    <w:rsid w:val="004774F9"/>
    <w:rsid w:val="00477DBE"/>
    <w:rsid w:val="004801DB"/>
    <w:rsid w:val="00480E50"/>
    <w:rsid w:val="00481235"/>
    <w:rsid w:val="00481348"/>
    <w:rsid w:val="00481B30"/>
    <w:rsid w:val="00481E14"/>
    <w:rsid w:val="00484DF1"/>
    <w:rsid w:val="00485096"/>
    <w:rsid w:val="00485174"/>
    <w:rsid w:val="004856A5"/>
    <w:rsid w:val="0048594C"/>
    <w:rsid w:val="0048599C"/>
    <w:rsid w:val="00485C92"/>
    <w:rsid w:val="00487357"/>
    <w:rsid w:val="0048776B"/>
    <w:rsid w:val="00487BAB"/>
    <w:rsid w:val="00487D9F"/>
    <w:rsid w:val="00487DB9"/>
    <w:rsid w:val="00487FA1"/>
    <w:rsid w:val="004901C2"/>
    <w:rsid w:val="0049345B"/>
    <w:rsid w:val="0049356B"/>
    <w:rsid w:val="00493695"/>
    <w:rsid w:val="004945BD"/>
    <w:rsid w:val="0049491E"/>
    <w:rsid w:val="00495854"/>
    <w:rsid w:val="00495889"/>
    <w:rsid w:val="00496165"/>
    <w:rsid w:val="004964EE"/>
    <w:rsid w:val="004966FB"/>
    <w:rsid w:val="00497805"/>
    <w:rsid w:val="004978A9"/>
    <w:rsid w:val="004A1A85"/>
    <w:rsid w:val="004A1FC4"/>
    <w:rsid w:val="004A235B"/>
    <w:rsid w:val="004A318E"/>
    <w:rsid w:val="004A3312"/>
    <w:rsid w:val="004A45DA"/>
    <w:rsid w:val="004A688A"/>
    <w:rsid w:val="004A7084"/>
    <w:rsid w:val="004B048D"/>
    <w:rsid w:val="004B275E"/>
    <w:rsid w:val="004B3384"/>
    <w:rsid w:val="004B39ED"/>
    <w:rsid w:val="004B3F41"/>
    <w:rsid w:val="004B4B54"/>
    <w:rsid w:val="004B5BA2"/>
    <w:rsid w:val="004B7FF8"/>
    <w:rsid w:val="004C0235"/>
    <w:rsid w:val="004C1588"/>
    <w:rsid w:val="004C1673"/>
    <w:rsid w:val="004C22C6"/>
    <w:rsid w:val="004C4982"/>
    <w:rsid w:val="004C5AD3"/>
    <w:rsid w:val="004C6B99"/>
    <w:rsid w:val="004D00F1"/>
    <w:rsid w:val="004D0CEB"/>
    <w:rsid w:val="004D1933"/>
    <w:rsid w:val="004D197F"/>
    <w:rsid w:val="004D1C81"/>
    <w:rsid w:val="004D22FB"/>
    <w:rsid w:val="004D2393"/>
    <w:rsid w:val="004D2B31"/>
    <w:rsid w:val="004D33D1"/>
    <w:rsid w:val="004D36F6"/>
    <w:rsid w:val="004D372F"/>
    <w:rsid w:val="004D4461"/>
    <w:rsid w:val="004D4BA9"/>
    <w:rsid w:val="004D4D22"/>
    <w:rsid w:val="004D51EA"/>
    <w:rsid w:val="004D5670"/>
    <w:rsid w:val="004D6AE4"/>
    <w:rsid w:val="004D6D6F"/>
    <w:rsid w:val="004D78A9"/>
    <w:rsid w:val="004E26C0"/>
    <w:rsid w:val="004E2A6B"/>
    <w:rsid w:val="004E39F6"/>
    <w:rsid w:val="004E3C57"/>
    <w:rsid w:val="004E538D"/>
    <w:rsid w:val="004E670A"/>
    <w:rsid w:val="004F09ED"/>
    <w:rsid w:val="004F0A15"/>
    <w:rsid w:val="004F0F3E"/>
    <w:rsid w:val="004F1872"/>
    <w:rsid w:val="004F1AB8"/>
    <w:rsid w:val="004F1DA3"/>
    <w:rsid w:val="004F25F6"/>
    <w:rsid w:val="004F2BE3"/>
    <w:rsid w:val="004F2D70"/>
    <w:rsid w:val="004F2DE7"/>
    <w:rsid w:val="004F38FC"/>
    <w:rsid w:val="004F3C08"/>
    <w:rsid w:val="004F4A25"/>
    <w:rsid w:val="004F5349"/>
    <w:rsid w:val="004F54A2"/>
    <w:rsid w:val="004F62F9"/>
    <w:rsid w:val="004F6889"/>
    <w:rsid w:val="004F6D3D"/>
    <w:rsid w:val="0050010C"/>
    <w:rsid w:val="005011B3"/>
    <w:rsid w:val="0050199D"/>
    <w:rsid w:val="00501B23"/>
    <w:rsid w:val="00501BD9"/>
    <w:rsid w:val="00501E9A"/>
    <w:rsid w:val="00502FA8"/>
    <w:rsid w:val="00502FCA"/>
    <w:rsid w:val="0050529F"/>
    <w:rsid w:val="0050550D"/>
    <w:rsid w:val="0050616E"/>
    <w:rsid w:val="005064A9"/>
    <w:rsid w:val="00506532"/>
    <w:rsid w:val="00507640"/>
    <w:rsid w:val="0050798F"/>
    <w:rsid w:val="00507DDA"/>
    <w:rsid w:val="00510461"/>
    <w:rsid w:val="005139FA"/>
    <w:rsid w:val="00513B44"/>
    <w:rsid w:val="00513F8E"/>
    <w:rsid w:val="005153A8"/>
    <w:rsid w:val="0051582D"/>
    <w:rsid w:val="00516D95"/>
    <w:rsid w:val="00516DCE"/>
    <w:rsid w:val="0051702C"/>
    <w:rsid w:val="00520E00"/>
    <w:rsid w:val="00520E8A"/>
    <w:rsid w:val="00522F3B"/>
    <w:rsid w:val="005237FD"/>
    <w:rsid w:val="0052552A"/>
    <w:rsid w:val="00525632"/>
    <w:rsid w:val="00525FE4"/>
    <w:rsid w:val="005264AF"/>
    <w:rsid w:val="005277AE"/>
    <w:rsid w:val="00527AAC"/>
    <w:rsid w:val="00527D53"/>
    <w:rsid w:val="00530590"/>
    <w:rsid w:val="0053228F"/>
    <w:rsid w:val="00532764"/>
    <w:rsid w:val="00532FEB"/>
    <w:rsid w:val="005331FB"/>
    <w:rsid w:val="00534995"/>
    <w:rsid w:val="00535810"/>
    <w:rsid w:val="00535D0D"/>
    <w:rsid w:val="00537053"/>
    <w:rsid w:val="0054083E"/>
    <w:rsid w:val="00543343"/>
    <w:rsid w:val="00543646"/>
    <w:rsid w:val="00543748"/>
    <w:rsid w:val="005453FC"/>
    <w:rsid w:val="0054632F"/>
    <w:rsid w:val="0054650F"/>
    <w:rsid w:val="005472C7"/>
    <w:rsid w:val="00550662"/>
    <w:rsid w:val="00550BEF"/>
    <w:rsid w:val="00551677"/>
    <w:rsid w:val="00552F89"/>
    <w:rsid w:val="00555663"/>
    <w:rsid w:val="0055696D"/>
    <w:rsid w:val="0055724C"/>
    <w:rsid w:val="00560321"/>
    <w:rsid w:val="005603C5"/>
    <w:rsid w:val="005604EC"/>
    <w:rsid w:val="0056113D"/>
    <w:rsid w:val="00562453"/>
    <w:rsid w:val="00562E14"/>
    <w:rsid w:val="005633C7"/>
    <w:rsid w:val="00564898"/>
    <w:rsid w:val="00565033"/>
    <w:rsid w:val="00572133"/>
    <w:rsid w:val="005727D4"/>
    <w:rsid w:val="005732E6"/>
    <w:rsid w:val="00575C6D"/>
    <w:rsid w:val="005765F9"/>
    <w:rsid w:val="00577D88"/>
    <w:rsid w:val="005800E8"/>
    <w:rsid w:val="005854FC"/>
    <w:rsid w:val="00585C7B"/>
    <w:rsid w:val="005861F1"/>
    <w:rsid w:val="0058622D"/>
    <w:rsid w:val="00586C8F"/>
    <w:rsid w:val="00587409"/>
    <w:rsid w:val="005878F6"/>
    <w:rsid w:val="00587AA5"/>
    <w:rsid w:val="00590676"/>
    <w:rsid w:val="00590BA0"/>
    <w:rsid w:val="0059231A"/>
    <w:rsid w:val="00593328"/>
    <w:rsid w:val="00594ACA"/>
    <w:rsid w:val="00594B4F"/>
    <w:rsid w:val="00594DA4"/>
    <w:rsid w:val="005955CD"/>
    <w:rsid w:val="00596071"/>
    <w:rsid w:val="00596BFA"/>
    <w:rsid w:val="005A09B0"/>
    <w:rsid w:val="005A1D18"/>
    <w:rsid w:val="005A1FBB"/>
    <w:rsid w:val="005A265B"/>
    <w:rsid w:val="005A2FF9"/>
    <w:rsid w:val="005A4FE4"/>
    <w:rsid w:val="005A6343"/>
    <w:rsid w:val="005A6653"/>
    <w:rsid w:val="005A6C05"/>
    <w:rsid w:val="005A7F4B"/>
    <w:rsid w:val="005A7F55"/>
    <w:rsid w:val="005B0540"/>
    <w:rsid w:val="005B0B7A"/>
    <w:rsid w:val="005B0D84"/>
    <w:rsid w:val="005B15B0"/>
    <w:rsid w:val="005B26A6"/>
    <w:rsid w:val="005B2BA2"/>
    <w:rsid w:val="005B2BF5"/>
    <w:rsid w:val="005B3500"/>
    <w:rsid w:val="005B3835"/>
    <w:rsid w:val="005B3B73"/>
    <w:rsid w:val="005B4654"/>
    <w:rsid w:val="005B6E4D"/>
    <w:rsid w:val="005C00FC"/>
    <w:rsid w:val="005C0D21"/>
    <w:rsid w:val="005C161F"/>
    <w:rsid w:val="005C2526"/>
    <w:rsid w:val="005C2CEA"/>
    <w:rsid w:val="005C3F20"/>
    <w:rsid w:val="005C441B"/>
    <w:rsid w:val="005C5C18"/>
    <w:rsid w:val="005C60C3"/>
    <w:rsid w:val="005C6830"/>
    <w:rsid w:val="005C6C33"/>
    <w:rsid w:val="005D0DF9"/>
    <w:rsid w:val="005D1010"/>
    <w:rsid w:val="005D17C6"/>
    <w:rsid w:val="005D1D02"/>
    <w:rsid w:val="005D1FEF"/>
    <w:rsid w:val="005D2438"/>
    <w:rsid w:val="005D3D71"/>
    <w:rsid w:val="005D4020"/>
    <w:rsid w:val="005D40BC"/>
    <w:rsid w:val="005D4159"/>
    <w:rsid w:val="005D46FD"/>
    <w:rsid w:val="005D50A8"/>
    <w:rsid w:val="005D5DF5"/>
    <w:rsid w:val="005D6A10"/>
    <w:rsid w:val="005D6BEE"/>
    <w:rsid w:val="005D6EE4"/>
    <w:rsid w:val="005D741E"/>
    <w:rsid w:val="005E22CD"/>
    <w:rsid w:val="005E2A7C"/>
    <w:rsid w:val="005E3DEA"/>
    <w:rsid w:val="005E635C"/>
    <w:rsid w:val="005F0D6D"/>
    <w:rsid w:val="005F1290"/>
    <w:rsid w:val="005F1BE0"/>
    <w:rsid w:val="005F1C0C"/>
    <w:rsid w:val="005F333F"/>
    <w:rsid w:val="005F3BD9"/>
    <w:rsid w:val="005F3C8A"/>
    <w:rsid w:val="005F3DCD"/>
    <w:rsid w:val="005F3E4D"/>
    <w:rsid w:val="005F40ED"/>
    <w:rsid w:val="005F4578"/>
    <w:rsid w:val="005F4B6E"/>
    <w:rsid w:val="005F52F4"/>
    <w:rsid w:val="005F7F5A"/>
    <w:rsid w:val="006000A1"/>
    <w:rsid w:val="006024DC"/>
    <w:rsid w:val="006040E6"/>
    <w:rsid w:val="00604372"/>
    <w:rsid w:val="0060443C"/>
    <w:rsid w:val="006046F0"/>
    <w:rsid w:val="0060567F"/>
    <w:rsid w:val="00605B8A"/>
    <w:rsid w:val="00610F1A"/>
    <w:rsid w:val="006119CB"/>
    <w:rsid w:val="006134EC"/>
    <w:rsid w:val="0061384F"/>
    <w:rsid w:val="00613FE0"/>
    <w:rsid w:val="006151CF"/>
    <w:rsid w:val="006152A0"/>
    <w:rsid w:val="00615593"/>
    <w:rsid w:val="0061586C"/>
    <w:rsid w:val="00616671"/>
    <w:rsid w:val="00616861"/>
    <w:rsid w:val="00617A5B"/>
    <w:rsid w:val="00617F94"/>
    <w:rsid w:val="00621092"/>
    <w:rsid w:val="006212E4"/>
    <w:rsid w:val="006217FD"/>
    <w:rsid w:val="00622948"/>
    <w:rsid w:val="00622B78"/>
    <w:rsid w:val="00622C05"/>
    <w:rsid w:val="00625106"/>
    <w:rsid w:val="00626525"/>
    <w:rsid w:val="0063281E"/>
    <w:rsid w:val="00632C88"/>
    <w:rsid w:val="00633AA6"/>
    <w:rsid w:val="00634D6B"/>
    <w:rsid w:val="00634F52"/>
    <w:rsid w:val="00637ECF"/>
    <w:rsid w:val="006409B7"/>
    <w:rsid w:val="00641386"/>
    <w:rsid w:val="00641558"/>
    <w:rsid w:val="006420BB"/>
    <w:rsid w:val="0064378A"/>
    <w:rsid w:val="00643B3D"/>
    <w:rsid w:val="00643DE7"/>
    <w:rsid w:val="00644259"/>
    <w:rsid w:val="0064491A"/>
    <w:rsid w:val="00646499"/>
    <w:rsid w:val="006501DA"/>
    <w:rsid w:val="0065147E"/>
    <w:rsid w:val="006516F6"/>
    <w:rsid w:val="00652E58"/>
    <w:rsid w:val="006556AC"/>
    <w:rsid w:val="00655CD6"/>
    <w:rsid w:val="0066357F"/>
    <w:rsid w:val="006658A7"/>
    <w:rsid w:val="00665F44"/>
    <w:rsid w:val="006667FE"/>
    <w:rsid w:val="00666BE2"/>
    <w:rsid w:val="006674A7"/>
    <w:rsid w:val="0066780A"/>
    <w:rsid w:val="00670494"/>
    <w:rsid w:val="0067227C"/>
    <w:rsid w:val="006730C0"/>
    <w:rsid w:val="00674223"/>
    <w:rsid w:val="00674384"/>
    <w:rsid w:val="00674988"/>
    <w:rsid w:val="0067505F"/>
    <w:rsid w:val="00677435"/>
    <w:rsid w:val="0068013B"/>
    <w:rsid w:val="006827DD"/>
    <w:rsid w:val="006839FC"/>
    <w:rsid w:val="00683D0C"/>
    <w:rsid w:val="00686F72"/>
    <w:rsid w:val="0069047A"/>
    <w:rsid w:val="006909E4"/>
    <w:rsid w:val="00691861"/>
    <w:rsid w:val="00693766"/>
    <w:rsid w:val="00693AF7"/>
    <w:rsid w:val="00693BD3"/>
    <w:rsid w:val="006942B6"/>
    <w:rsid w:val="006954CB"/>
    <w:rsid w:val="0069629F"/>
    <w:rsid w:val="006966BC"/>
    <w:rsid w:val="006967B5"/>
    <w:rsid w:val="006969C3"/>
    <w:rsid w:val="0069729B"/>
    <w:rsid w:val="006A05E7"/>
    <w:rsid w:val="006A2EF0"/>
    <w:rsid w:val="006A4C83"/>
    <w:rsid w:val="006A4D80"/>
    <w:rsid w:val="006A4F51"/>
    <w:rsid w:val="006A5733"/>
    <w:rsid w:val="006A5B25"/>
    <w:rsid w:val="006A5E0F"/>
    <w:rsid w:val="006A604B"/>
    <w:rsid w:val="006B1D3D"/>
    <w:rsid w:val="006B20DE"/>
    <w:rsid w:val="006B2E64"/>
    <w:rsid w:val="006B2E8D"/>
    <w:rsid w:val="006B2EED"/>
    <w:rsid w:val="006B420F"/>
    <w:rsid w:val="006B785E"/>
    <w:rsid w:val="006B789C"/>
    <w:rsid w:val="006B7AE0"/>
    <w:rsid w:val="006C07EF"/>
    <w:rsid w:val="006C086E"/>
    <w:rsid w:val="006C09F7"/>
    <w:rsid w:val="006C15DE"/>
    <w:rsid w:val="006C1815"/>
    <w:rsid w:val="006C22C0"/>
    <w:rsid w:val="006C403C"/>
    <w:rsid w:val="006C4B8D"/>
    <w:rsid w:val="006C4DBB"/>
    <w:rsid w:val="006C6647"/>
    <w:rsid w:val="006C680F"/>
    <w:rsid w:val="006C7006"/>
    <w:rsid w:val="006C7CD0"/>
    <w:rsid w:val="006C7E4C"/>
    <w:rsid w:val="006D0BC7"/>
    <w:rsid w:val="006D0C34"/>
    <w:rsid w:val="006D0C95"/>
    <w:rsid w:val="006D1872"/>
    <w:rsid w:val="006D1AFD"/>
    <w:rsid w:val="006D2AA6"/>
    <w:rsid w:val="006D3986"/>
    <w:rsid w:val="006D48B0"/>
    <w:rsid w:val="006D4C24"/>
    <w:rsid w:val="006D7195"/>
    <w:rsid w:val="006E1B66"/>
    <w:rsid w:val="006E2C8C"/>
    <w:rsid w:val="006E4FDE"/>
    <w:rsid w:val="006E530A"/>
    <w:rsid w:val="006E6CBB"/>
    <w:rsid w:val="006E78F4"/>
    <w:rsid w:val="006E7DEF"/>
    <w:rsid w:val="006F12D5"/>
    <w:rsid w:val="006F1C53"/>
    <w:rsid w:val="006F30AA"/>
    <w:rsid w:val="006F49E4"/>
    <w:rsid w:val="006F4BBF"/>
    <w:rsid w:val="006F5351"/>
    <w:rsid w:val="006F7358"/>
    <w:rsid w:val="006F7E69"/>
    <w:rsid w:val="00701097"/>
    <w:rsid w:val="00701E95"/>
    <w:rsid w:val="00703342"/>
    <w:rsid w:val="007033CF"/>
    <w:rsid w:val="00704190"/>
    <w:rsid w:val="007042D7"/>
    <w:rsid w:val="0070492A"/>
    <w:rsid w:val="00704A07"/>
    <w:rsid w:val="00705590"/>
    <w:rsid w:val="00705F35"/>
    <w:rsid w:val="00706494"/>
    <w:rsid w:val="0070699D"/>
    <w:rsid w:val="0071002E"/>
    <w:rsid w:val="007101D7"/>
    <w:rsid w:val="00710B2D"/>
    <w:rsid w:val="007117E5"/>
    <w:rsid w:val="007123CD"/>
    <w:rsid w:val="0071240A"/>
    <w:rsid w:val="00712789"/>
    <w:rsid w:val="007130A0"/>
    <w:rsid w:val="0071423C"/>
    <w:rsid w:val="00714641"/>
    <w:rsid w:val="007149B8"/>
    <w:rsid w:val="00714F84"/>
    <w:rsid w:val="007154CE"/>
    <w:rsid w:val="00716463"/>
    <w:rsid w:val="00717AD3"/>
    <w:rsid w:val="007209FA"/>
    <w:rsid w:val="00722488"/>
    <w:rsid w:val="00722E9B"/>
    <w:rsid w:val="007242D2"/>
    <w:rsid w:val="0072522B"/>
    <w:rsid w:val="00725D56"/>
    <w:rsid w:val="00727AA2"/>
    <w:rsid w:val="007309C9"/>
    <w:rsid w:val="00731841"/>
    <w:rsid w:val="00732158"/>
    <w:rsid w:val="00732BAD"/>
    <w:rsid w:val="00733270"/>
    <w:rsid w:val="00733E66"/>
    <w:rsid w:val="007340C3"/>
    <w:rsid w:val="007345C0"/>
    <w:rsid w:val="00736D49"/>
    <w:rsid w:val="00736DB1"/>
    <w:rsid w:val="00737082"/>
    <w:rsid w:val="007374DA"/>
    <w:rsid w:val="0073783D"/>
    <w:rsid w:val="007426CC"/>
    <w:rsid w:val="007439FD"/>
    <w:rsid w:val="007444E2"/>
    <w:rsid w:val="007444EC"/>
    <w:rsid w:val="00744F0D"/>
    <w:rsid w:val="007456D1"/>
    <w:rsid w:val="00746F35"/>
    <w:rsid w:val="00747002"/>
    <w:rsid w:val="007478C1"/>
    <w:rsid w:val="007532FA"/>
    <w:rsid w:val="007538F0"/>
    <w:rsid w:val="00753CE9"/>
    <w:rsid w:val="007565F9"/>
    <w:rsid w:val="00756DFB"/>
    <w:rsid w:val="00757564"/>
    <w:rsid w:val="00760F8F"/>
    <w:rsid w:val="00761EBA"/>
    <w:rsid w:val="00761FD7"/>
    <w:rsid w:val="00763700"/>
    <w:rsid w:val="00763CDB"/>
    <w:rsid w:val="00765C58"/>
    <w:rsid w:val="007661DC"/>
    <w:rsid w:val="0076625F"/>
    <w:rsid w:val="007672D3"/>
    <w:rsid w:val="00770703"/>
    <w:rsid w:val="00770A62"/>
    <w:rsid w:val="00771744"/>
    <w:rsid w:val="00772268"/>
    <w:rsid w:val="007731CD"/>
    <w:rsid w:val="007736C3"/>
    <w:rsid w:val="00774AF4"/>
    <w:rsid w:val="00774B58"/>
    <w:rsid w:val="00774D84"/>
    <w:rsid w:val="0077558D"/>
    <w:rsid w:val="007759EA"/>
    <w:rsid w:val="00776801"/>
    <w:rsid w:val="00776CA7"/>
    <w:rsid w:val="007811E7"/>
    <w:rsid w:val="00781D29"/>
    <w:rsid w:val="00781F66"/>
    <w:rsid w:val="0078243B"/>
    <w:rsid w:val="00784074"/>
    <w:rsid w:val="00784670"/>
    <w:rsid w:val="007860F8"/>
    <w:rsid w:val="00787735"/>
    <w:rsid w:val="00787EC1"/>
    <w:rsid w:val="00787F5E"/>
    <w:rsid w:val="00790678"/>
    <w:rsid w:val="007915C0"/>
    <w:rsid w:val="00792BEF"/>
    <w:rsid w:val="0079588C"/>
    <w:rsid w:val="007960DF"/>
    <w:rsid w:val="00796692"/>
    <w:rsid w:val="007A02A7"/>
    <w:rsid w:val="007A08A7"/>
    <w:rsid w:val="007A08FB"/>
    <w:rsid w:val="007A1284"/>
    <w:rsid w:val="007A12BF"/>
    <w:rsid w:val="007A1718"/>
    <w:rsid w:val="007A1E4F"/>
    <w:rsid w:val="007A2CCB"/>
    <w:rsid w:val="007A3179"/>
    <w:rsid w:val="007A3C64"/>
    <w:rsid w:val="007B34D6"/>
    <w:rsid w:val="007B6137"/>
    <w:rsid w:val="007B6F3F"/>
    <w:rsid w:val="007B7666"/>
    <w:rsid w:val="007B7CC6"/>
    <w:rsid w:val="007C07C3"/>
    <w:rsid w:val="007C12BD"/>
    <w:rsid w:val="007C26AB"/>
    <w:rsid w:val="007C3A38"/>
    <w:rsid w:val="007C463B"/>
    <w:rsid w:val="007C58E1"/>
    <w:rsid w:val="007C5ADD"/>
    <w:rsid w:val="007C6528"/>
    <w:rsid w:val="007C71B5"/>
    <w:rsid w:val="007D02D4"/>
    <w:rsid w:val="007D0E31"/>
    <w:rsid w:val="007D22BF"/>
    <w:rsid w:val="007D4FDE"/>
    <w:rsid w:val="007D59B6"/>
    <w:rsid w:val="007D5FE5"/>
    <w:rsid w:val="007D6B1B"/>
    <w:rsid w:val="007D729D"/>
    <w:rsid w:val="007D763F"/>
    <w:rsid w:val="007E123C"/>
    <w:rsid w:val="007E2B35"/>
    <w:rsid w:val="007E3CDC"/>
    <w:rsid w:val="007E56AE"/>
    <w:rsid w:val="007E5FB3"/>
    <w:rsid w:val="007E72FF"/>
    <w:rsid w:val="007F1CC9"/>
    <w:rsid w:val="007F24FB"/>
    <w:rsid w:val="007F2E58"/>
    <w:rsid w:val="007F3981"/>
    <w:rsid w:val="007F5EE6"/>
    <w:rsid w:val="007F6151"/>
    <w:rsid w:val="007F76BB"/>
    <w:rsid w:val="00802A57"/>
    <w:rsid w:val="00803E1C"/>
    <w:rsid w:val="00803E38"/>
    <w:rsid w:val="00804622"/>
    <w:rsid w:val="00805108"/>
    <w:rsid w:val="00806517"/>
    <w:rsid w:val="00806D14"/>
    <w:rsid w:val="00807111"/>
    <w:rsid w:val="00807DF2"/>
    <w:rsid w:val="008101ED"/>
    <w:rsid w:val="008111CE"/>
    <w:rsid w:val="008118B7"/>
    <w:rsid w:val="00811D0C"/>
    <w:rsid w:val="00811F1B"/>
    <w:rsid w:val="00812202"/>
    <w:rsid w:val="008135D9"/>
    <w:rsid w:val="008139D4"/>
    <w:rsid w:val="00813F73"/>
    <w:rsid w:val="0081545F"/>
    <w:rsid w:val="00815F0D"/>
    <w:rsid w:val="00816849"/>
    <w:rsid w:val="00816CD8"/>
    <w:rsid w:val="00817694"/>
    <w:rsid w:val="00820A4E"/>
    <w:rsid w:val="0082247E"/>
    <w:rsid w:val="0082262F"/>
    <w:rsid w:val="00822DEF"/>
    <w:rsid w:val="008236F1"/>
    <w:rsid w:val="00824448"/>
    <w:rsid w:val="00825445"/>
    <w:rsid w:val="008259CB"/>
    <w:rsid w:val="00825CC5"/>
    <w:rsid w:val="008261A9"/>
    <w:rsid w:val="00826216"/>
    <w:rsid w:val="0082689F"/>
    <w:rsid w:val="00826C65"/>
    <w:rsid w:val="00830962"/>
    <w:rsid w:val="0083226A"/>
    <w:rsid w:val="0083280E"/>
    <w:rsid w:val="00833551"/>
    <w:rsid w:val="008336EA"/>
    <w:rsid w:val="0083370D"/>
    <w:rsid w:val="0083505D"/>
    <w:rsid w:val="00835CBB"/>
    <w:rsid w:val="00835D43"/>
    <w:rsid w:val="008374CD"/>
    <w:rsid w:val="00840FFA"/>
    <w:rsid w:val="008416E2"/>
    <w:rsid w:val="00841867"/>
    <w:rsid w:val="00841B99"/>
    <w:rsid w:val="00841F72"/>
    <w:rsid w:val="00843FEA"/>
    <w:rsid w:val="00844F3D"/>
    <w:rsid w:val="0084566C"/>
    <w:rsid w:val="00847855"/>
    <w:rsid w:val="00847870"/>
    <w:rsid w:val="008507C3"/>
    <w:rsid w:val="00850997"/>
    <w:rsid w:val="00852D36"/>
    <w:rsid w:val="008542A0"/>
    <w:rsid w:val="008544BC"/>
    <w:rsid w:val="008544ED"/>
    <w:rsid w:val="00855D56"/>
    <w:rsid w:val="008577F4"/>
    <w:rsid w:val="0086085A"/>
    <w:rsid w:val="008619ED"/>
    <w:rsid w:val="008621D2"/>
    <w:rsid w:val="00863095"/>
    <w:rsid w:val="008639E8"/>
    <w:rsid w:val="00865904"/>
    <w:rsid w:val="00867CC9"/>
    <w:rsid w:val="00870DED"/>
    <w:rsid w:val="00871CED"/>
    <w:rsid w:val="0087311A"/>
    <w:rsid w:val="0087348A"/>
    <w:rsid w:val="008741EB"/>
    <w:rsid w:val="00875B24"/>
    <w:rsid w:val="0087606A"/>
    <w:rsid w:val="00877F23"/>
    <w:rsid w:val="00880D8D"/>
    <w:rsid w:val="00880DE7"/>
    <w:rsid w:val="00881457"/>
    <w:rsid w:val="0088387A"/>
    <w:rsid w:val="00883F84"/>
    <w:rsid w:val="008856AD"/>
    <w:rsid w:val="0088602A"/>
    <w:rsid w:val="00886E25"/>
    <w:rsid w:val="00887956"/>
    <w:rsid w:val="00890A5E"/>
    <w:rsid w:val="00890D04"/>
    <w:rsid w:val="00890FA1"/>
    <w:rsid w:val="008916EE"/>
    <w:rsid w:val="00895A62"/>
    <w:rsid w:val="00895B4C"/>
    <w:rsid w:val="00897D11"/>
    <w:rsid w:val="008A048E"/>
    <w:rsid w:val="008A3347"/>
    <w:rsid w:val="008A3B42"/>
    <w:rsid w:val="008A45CB"/>
    <w:rsid w:val="008A5C0C"/>
    <w:rsid w:val="008A5FC7"/>
    <w:rsid w:val="008B068D"/>
    <w:rsid w:val="008B09F6"/>
    <w:rsid w:val="008B18F0"/>
    <w:rsid w:val="008B2736"/>
    <w:rsid w:val="008B31B2"/>
    <w:rsid w:val="008B3E5B"/>
    <w:rsid w:val="008B4AB1"/>
    <w:rsid w:val="008B51F5"/>
    <w:rsid w:val="008B6EC2"/>
    <w:rsid w:val="008B7525"/>
    <w:rsid w:val="008C0D82"/>
    <w:rsid w:val="008C2631"/>
    <w:rsid w:val="008C275C"/>
    <w:rsid w:val="008C4268"/>
    <w:rsid w:val="008C44ED"/>
    <w:rsid w:val="008C46A6"/>
    <w:rsid w:val="008C560E"/>
    <w:rsid w:val="008C5741"/>
    <w:rsid w:val="008C5923"/>
    <w:rsid w:val="008C6DA2"/>
    <w:rsid w:val="008C7079"/>
    <w:rsid w:val="008C7E30"/>
    <w:rsid w:val="008D07A5"/>
    <w:rsid w:val="008D0E22"/>
    <w:rsid w:val="008D2EEF"/>
    <w:rsid w:val="008D64B9"/>
    <w:rsid w:val="008D66FA"/>
    <w:rsid w:val="008E1911"/>
    <w:rsid w:val="008E1ECC"/>
    <w:rsid w:val="008E2858"/>
    <w:rsid w:val="008E2A6E"/>
    <w:rsid w:val="008E32CA"/>
    <w:rsid w:val="008E4203"/>
    <w:rsid w:val="008E5411"/>
    <w:rsid w:val="008E5CF4"/>
    <w:rsid w:val="008E7DF0"/>
    <w:rsid w:val="008F0A52"/>
    <w:rsid w:val="008F1409"/>
    <w:rsid w:val="008F19FA"/>
    <w:rsid w:val="008F27B7"/>
    <w:rsid w:val="008F3146"/>
    <w:rsid w:val="008F31A1"/>
    <w:rsid w:val="008F329B"/>
    <w:rsid w:val="008F35C6"/>
    <w:rsid w:val="008F47D2"/>
    <w:rsid w:val="008F4F89"/>
    <w:rsid w:val="008F5E24"/>
    <w:rsid w:val="008F6BED"/>
    <w:rsid w:val="00900064"/>
    <w:rsid w:val="00900414"/>
    <w:rsid w:val="00901025"/>
    <w:rsid w:val="0090185E"/>
    <w:rsid w:val="00901ACE"/>
    <w:rsid w:val="00903FEC"/>
    <w:rsid w:val="00904808"/>
    <w:rsid w:val="0090616C"/>
    <w:rsid w:val="009066E0"/>
    <w:rsid w:val="009067A4"/>
    <w:rsid w:val="00907E23"/>
    <w:rsid w:val="00912B20"/>
    <w:rsid w:val="009138CB"/>
    <w:rsid w:val="009139C0"/>
    <w:rsid w:val="00913E34"/>
    <w:rsid w:val="00914772"/>
    <w:rsid w:val="00921E98"/>
    <w:rsid w:val="00922D25"/>
    <w:rsid w:val="009237B0"/>
    <w:rsid w:val="00923AFA"/>
    <w:rsid w:val="00923B83"/>
    <w:rsid w:val="00924590"/>
    <w:rsid w:val="0092535E"/>
    <w:rsid w:val="00925373"/>
    <w:rsid w:val="00926217"/>
    <w:rsid w:val="00927A74"/>
    <w:rsid w:val="00927DED"/>
    <w:rsid w:val="00932310"/>
    <w:rsid w:val="00932E92"/>
    <w:rsid w:val="00933E33"/>
    <w:rsid w:val="00936DB4"/>
    <w:rsid w:val="00936F98"/>
    <w:rsid w:val="009400F0"/>
    <w:rsid w:val="00940CF3"/>
    <w:rsid w:val="00941D0A"/>
    <w:rsid w:val="009421A4"/>
    <w:rsid w:val="0094225F"/>
    <w:rsid w:val="0094234C"/>
    <w:rsid w:val="009436C9"/>
    <w:rsid w:val="009444AF"/>
    <w:rsid w:val="009457C6"/>
    <w:rsid w:val="009475CC"/>
    <w:rsid w:val="00947E74"/>
    <w:rsid w:val="00951823"/>
    <w:rsid w:val="0095243C"/>
    <w:rsid w:val="009525B3"/>
    <w:rsid w:val="0095382F"/>
    <w:rsid w:val="00954CA3"/>
    <w:rsid w:val="00955314"/>
    <w:rsid w:val="00956337"/>
    <w:rsid w:val="00962421"/>
    <w:rsid w:val="009627CD"/>
    <w:rsid w:val="00963048"/>
    <w:rsid w:val="00963100"/>
    <w:rsid w:val="00965315"/>
    <w:rsid w:val="009658DF"/>
    <w:rsid w:val="009672A6"/>
    <w:rsid w:val="009673AF"/>
    <w:rsid w:val="00967DEC"/>
    <w:rsid w:val="0097063C"/>
    <w:rsid w:val="0097070F"/>
    <w:rsid w:val="009721FC"/>
    <w:rsid w:val="009724D8"/>
    <w:rsid w:val="009730F7"/>
    <w:rsid w:val="00973161"/>
    <w:rsid w:val="00973ACE"/>
    <w:rsid w:val="00973B3C"/>
    <w:rsid w:val="00977767"/>
    <w:rsid w:val="00977E7C"/>
    <w:rsid w:val="0098105A"/>
    <w:rsid w:val="00983D40"/>
    <w:rsid w:val="00984355"/>
    <w:rsid w:val="00986CB8"/>
    <w:rsid w:val="009877A4"/>
    <w:rsid w:val="00987E90"/>
    <w:rsid w:val="00990F48"/>
    <w:rsid w:val="009919A6"/>
    <w:rsid w:val="0099400D"/>
    <w:rsid w:val="00995AA3"/>
    <w:rsid w:val="0099612C"/>
    <w:rsid w:val="009965EC"/>
    <w:rsid w:val="00996BF0"/>
    <w:rsid w:val="009A02AF"/>
    <w:rsid w:val="009A0AA1"/>
    <w:rsid w:val="009A3A04"/>
    <w:rsid w:val="009A505B"/>
    <w:rsid w:val="009A6C20"/>
    <w:rsid w:val="009A6C3D"/>
    <w:rsid w:val="009A7884"/>
    <w:rsid w:val="009A7FC8"/>
    <w:rsid w:val="009B0030"/>
    <w:rsid w:val="009B0A34"/>
    <w:rsid w:val="009B42FA"/>
    <w:rsid w:val="009B469A"/>
    <w:rsid w:val="009B56EE"/>
    <w:rsid w:val="009B5D75"/>
    <w:rsid w:val="009B66AC"/>
    <w:rsid w:val="009B7C4C"/>
    <w:rsid w:val="009C09F0"/>
    <w:rsid w:val="009C1561"/>
    <w:rsid w:val="009C2471"/>
    <w:rsid w:val="009C2527"/>
    <w:rsid w:val="009C27DC"/>
    <w:rsid w:val="009C4DDF"/>
    <w:rsid w:val="009C5658"/>
    <w:rsid w:val="009C60A5"/>
    <w:rsid w:val="009C627A"/>
    <w:rsid w:val="009C6C39"/>
    <w:rsid w:val="009D02DD"/>
    <w:rsid w:val="009D0F39"/>
    <w:rsid w:val="009D2218"/>
    <w:rsid w:val="009D3BA2"/>
    <w:rsid w:val="009D3EB3"/>
    <w:rsid w:val="009D42BB"/>
    <w:rsid w:val="009D45C1"/>
    <w:rsid w:val="009D4A53"/>
    <w:rsid w:val="009D657E"/>
    <w:rsid w:val="009D6F28"/>
    <w:rsid w:val="009D702B"/>
    <w:rsid w:val="009E1648"/>
    <w:rsid w:val="009E2576"/>
    <w:rsid w:val="009E3388"/>
    <w:rsid w:val="009E3791"/>
    <w:rsid w:val="009E605F"/>
    <w:rsid w:val="009E60E6"/>
    <w:rsid w:val="009E6268"/>
    <w:rsid w:val="009E627A"/>
    <w:rsid w:val="009E660C"/>
    <w:rsid w:val="009E6EA1"/>
    <w:rsid w:val="009E7B4E"/>
    <w:rsid w:val="009F02BC"/>
    <w:rsid w:val="009F130E"/>
    <w:rsid w:val="009F174F"/>
    <w:rsid w:val="009F1E9A"/>
    <w:rsid w:val="009F2785"/>
    <w:rsid w:val="009F330F"/>
    <w:rsid w:val="009F5424"/>
    <w:rsid w:val="009F6074"/>
    <w:rsid w:val="00A007A6"/>
    <w:rsid w:val="00A01F8A"/>
    <w:rsid w:val="00A0234B"/>
    <w:rsid w:val="00A02AF2"/>
    <w:rsid w:val="00A02FC4"/>
    <w:rsid w:val="00A030BA"/>
    <w:rsid w:val="00A03F4D"/>
    <w:rsid w:val="00A04DF3"/>
    <w:rsid w:val="00A04ED7"/>
    <w:rsid w:val="00A0586D"/>
    <w:rsid w:val="00A05D92"/>
    <w:rsid w:val="00A10664"/>
    <w:rsid w:val="00A10D87"/>
    <w:rsid w:val="00A1240D"/>
    <w:rsid w:val="00A12801"/>
    <w:rsid w:val="00A12E4C"/>
    <w:rsid w:val="00A148E1"/>
    <w:rsid w:val="00A149C2"/>
    <w:rsid w:val="00A1673A"/>
    <w:rsid w:val="00A21F90"/>
    <w:rsid w:val="00A23281"/>
    <w:rsid w:val="00A242AE"/>
    <w:rsid w:val="00A263BF"/>
    <w:rsid w:val="00A271A3"/>
    <w:rsid w:val="00A27F35"/>
    <w:rsid w:val="00A30109"/>
    <w:rsid w:val="00A308CF"/>
    <w:rsid w:val="00A30C4A"/>
    <w:rsid w:val="00A30CF5"/>
    <w:rsid w:val="00A31223"/>
    <w:rsid w:val="00A31DC1"/>
    <w:rsid w:val="00A32666"/>
    <w:rsid w:val="00A3359F"/>
    <w:rsid w:val="00A33A1F"/>
    <w:rsid w:val="00A3505B"/>
    <w:rsid w:val="00A3547C"/>
    <w:rsid w:val="00A35AF0"/>
    <w:rsid w:val="00A3668F"/>
    <w:rsid w:val="00A371A5"/>
    <w:rsid w:val="00A40FD1"/>
    <w:rsid w:val="00A4374F"/>
    <w:rsid w:val="00A43E6A"/>
    <w:rsid w:val="00A445E6"/>
    <w:rsid w:val="00A45061"/>
    <w:rsid w:val="00A475C9"/>
    <w:rsid w:val="00A479C5"/>
    <w:rsid w:val="00A50610"/>
    <w:rsid w:val="00A51E1C"/>
    <w:rsid w:val="00A52D2C"/>
    <w:rsid w:val="00A52DF1"/>
    <w:rsid w:val="00A53E2D"/>
    <w:rsid w:val="00A53E41"/>
    <w:rsid w:val="00A540FA"/>
    <w:rsid w:val="00A54D72"/>
    <w:rsid w:val="00A55D70"/>
    <w:rsid w:val="00A56E31"/>
    <w:rsid w:val="00A57D65"/>
    <w:rsid w:val="00A600FE"/>
    <w:rsid w:val="00A60673"/>
    <w:rsid w:val="00A61130"/>
    <w:rsid w:val="00A62BAF"/>
    <w:rsid w:val="00A63099"/>
    <w:rsid w:val="00A637C9"/>
    <w:rsid w:val="00A6402E"/>
    <w:rsid w:val="00A647F3"/>
    <w:rsid w:val="00A64EA6"/>
    <w:rsid w:val="00A65143"/>
    <w:rsid w:val="00A65C05"/>
    <w:rsid w:val="00A65E92"/>
    <w:rsid w:val="00A66BA5"/>
    <w:rsid w:val="00A7070D"/>
    <w:rsid w:val="00A716E2"/>
    <w:rsid w:val="00A71860"/>
    <w:rsid w:val="00A7408A"/>
    <w:rsid w:val="00A74277"/>
    <w:rsid w:val="00A74EFF"/>
    <w:rsid w:val="00A77D2B"/>
    <w:rsid w:val="00A81144"/>
    <w:rsid w:val="00A81B81"/>
    <w:rsid w:val="00A8210E"/>
    <w:rsid w:val="00A8287D"/>
    <w:rsid w:val="00A836E7"/>
    <w:rsid w:val="00A83835"/>
    <w:rsid w:val="00A8446A"/>
    <w:rsid w:val="00A84524"/>
    <w:rsid w:val="00A8454B"/>
    <w:rsid w:val="00A84F47"/>
    <w:rsid w:val="00A85774"/>
    <w:rsid w:val="00A87994"/>
    <w:rsid w:val="00A90BF3"/>
    <w:rsid w:val="00A90EF5"/>
    <w:rsid w:val="00A9191A"/>
    <w:rsid w:val="00A92A65"/>
    <w:rsid w:val="00A947DF"/>
    <w:rsid w:val="00AA0164"/>
    <w:rsid w:val="00AA0F51"/>
    <w:rsid w:val="00AA1566"/>
    <w:rsid w:val="00AA1A80"/>
    <w:rsid w:val="00AA1D6E"/>
    <w:rsid w:val="00AA26C5"/>
    <w:rsid w:val="00AA3507"/>
    <w:rsid w:val="00AA4BE1"/>
    <w:rsid w:val="00AA5404"/>
    <w:rsid w:val="00AA5EF3"/>
    <w:rsid w:val="00AA6CE9"/>
    <w:rsid w:val="00AA796C"/>
    <w:rsid w:val="00AB09C9"/>
    <w:rsid w:val="00AB1E38"/>
    <w:rsid w:val="00AB276E"/>
    <w:rsid w:val="00AB2879"/>
    <w:rsid w:val="00AB2BDC"/>
    <w:rsid w:val="00AB2D21"/>
    <w:rsid w:val="00AB4D95"/>
    <w:rsid w:val="00AB514D"/>
    <w:rsid w:val="00AB770E"/>
    <w:rsid w:val="00AC0949"/>
    <w:rsid w:val="00AC1704"/>
    <w:rsid w:val="00AC2293"/>
    <w:rsid w:val="00AC23C3"/>
    <w:rsid w:val="00AC2549"/>
    <w:rsid w:val="00AC4019"/>
    <w:rsid w:val="00AC5AF3"/>
    <w:rsid w:val="00AC65DB"/>
    <w:rsid w:val="00AC6CC1"/>
    <w:rsid w:val="00AC7F0B"/>
    <w:rsid w:val="00AD1692"/>
    <w:rsid w:val="00AD208C"/>
    <w:rsid w:val="00AD2D51"/>
    <w:rsid w:val="00AD36A4"/>
    <w:rsid w:val="00AD3B36"/>
    <w:rsid w:val="00AD46D5"/>
    <w:rsid w:val="00AD492E"/>
    <w:rsid w:val="00AD53FA"/>
    <w:rsid w:val="00AD5EBB"/>
    <w:rsid w:val="00AD6947"/>
    <w:rsid w:val="00AD78D7"/>
    <w:rsid w:val="00AD7B5E"/>
    <w:rsid w:val="00AD7EE1"/>
    <w:rsid w:val="00AE1061"/>
    <w:rsid w:val="00AE10D2"/>
    <w:rsid w:val="00AE27F1"/>
    <w:rsid w:val="00AE2805"/>
    <w:rsid w:val="00AE3561"/>
    <w:rsid w:val="00AE35C2"/>
    <w:rsid w:val="00AE438F"/>
    <w:rsid w:val="00AE7954"/>
    <w:rsid w:val="00AF0B30"/>
    <w:rsid w:val="00AF0DD0"/>
    <w:rsid w:val="00AF11EE"/>
    <w:rsid w:val="00AF26AE"/>
    <w:rsid w:val="00AF2E43"/>
    <w:rsid w:val="00AF4110"/>
    <w:rsid w:val="00AF4BD4"/>
    <w:rsid w:val="00AF5825"/>
    <w:rsid w:val="00AF6F60"/>
    <w:rsid w:val="00B002B7"/>
    <w:rsid w:val="00B00D38"/>
    <w:rsid w:val="00B045D1"/>
    <w:rsid w:val="00B0539C"/>
    <w:rsid w:val="00B1008F"/>
    <w:rsid w:val="00B107CA"/>
    <w:rsid w:val="00B10C74"/>
    <w:rsid w:val="00B11FE3"/>
    <w:rsid w:val="00B122B4"/>
    <w:rsid w:val="00B12D33"/>
    <w:rsid w:val="00B12FF0"/>
    <w:rsid w:val="00B13C26"/>
    <w:rsid w:val="00B14319"/>
    <w:rsid w:val="00B1470E"/>
    <w:rsid w:val="00B155DD"/>
    <w:rsid w:val="00B15C74"/>
    <w:rsid w:val="00B1676B"/>
    <w:rsid w:val="00B16F29"/>
    <w:rsid w:val="00B201D8"/>
    <w:rsid w:val="00B218CB"/>
    <w:rsid w:val="00B21EFB"/>
    <w:rsid w:val="00B22CFA"/>
    <w:rsid w:val="00B22F15"/>
    <w:rsid w:val="00B22F4C"/>
    <w:rsid w:val="00B24F46"/>
    <w:rsid w:val="00B26071"/>
    <w:rsid w:val="00B3059C"/>
    <w:rsid w:val="00B31855"/>
    <w:rsid w:val="00B32E7D"/>
    <w:rsid w:val="00B32F9A"/>
    <w:rsid w:val="00B3524B"/>
    <w:rsid w:val="00B35445"/>
    <w:rsid w:val="00B35647"/>
    <w:rsid w:val="00B356EF"/>
    <w:rsid w:val="00B3615D"/>
    <w:rsid w:val="00B36A91"/>
    <w:rsid w:val="00B3702F"/>
    <w:rsid w:val="00B371B2"/>
    <w:rsid w:val="00B37623"/>
    <w:rsid w:val="00B42634"/>
    <w:rsid w:val="00B426E6"/>
    <w:rsid w:val="00B434E0"/>
    <w:rsid w:val="00B438C8"/>
    <w:rsid w:val="00B44E41"/>
    <w:rsid w:val="00B44EA3"/>
    <w:rsid w:val="00B45979"/>
    <w:rsid w:val="00B514FD"/>
    <w:rsid w:val="00B52621"/>
    <w:rsid w:val="00B52FEB"/>
    <w:rsid w:val="00B537A3"/>
    <w:rsid w:val="00B54069"/>
    <w:rsid w:val="00B5495A"/>
    <w:rsid w:val="00B550F2"/>
    <w:rsid w:val="00B5587A"/>
    <w:rsid w:val="00B560A6"/>
    <w:rsid w:val="00B56293"/>
    <w:rsid w:val="00B607E3"/>
    <w:rsid w:val="00B63504"/>
    <w:rsid w:val="00B64297"/>
    <w:rsid w:val="00B64CD8"/>
    <w:rsid w:val="00B64F8C"/>
    <w:rsid w:val="00B65FA9"/>
    <w:rsid w:val="00B667F5"/>
    <w:rsid w:val="00B70C84"/>
    <w:rsid w:val="00B724BA"/>
    <w:rsid w:val="00B7410C"/>
    <w:rsid w:val="00B75916"/>
    <w:rsid w:val="00B75EE2"/>
    <w:rsid w:val="00B7609F"/>
    <w:rsid w:val="00B767D7"/>
    <w:rsid w:val="00B77692"/>
    <w:rsid w:val="00B77A5C"/>
    <w:rsid w:val="00B77A7B"/>
    <w:rsid w:val="00B8019A"/>
    <w:rsid w:val="00B80CF5"/>
    <w:rsid w:val="00B813D7"/>
    <w:rsid w:val="00B81785"/>
    <w:rsid w:val="00B81A22"/>
    <w:rsid w:val="00B82C3E"/>
    <w:rsid w:val="00B82CA2"/>
    <w:rsid w:val="00B82E45"/>
    <w:rsid w:val="00B834E6"/>
    <w:rsid w:val="00B83BE7"/>
    <w:rsid w:val="00B83EB7"/>
    <w:rsid w:val="00B84351"/>
    <w:rsid w:val="00B85066"/>
    <w:rsid w:val="00B85FA5"/>
    <w:rsid w:val="00B8652B"/>
    <w:rsid w:val="00B86CA7"/>
    <w:rsid w:val="00B870A2"/>
    <w:rsid w:val="00B904AA"/>
    <w:rsid w:val="00B90AA8"/>
    <w:rsid w:val="00B91D24"/>
    <w:rsid w:val="00B92FB5"/>
    <w:rsid w:val="00B93C61"/>
    <w:rsid w:val="00B9429A"/>
    <w:rsid w:val="00B94B1F"/>
    <w:rsid w:val="00B951D5"/>
    <w:rsid w:val="00B958AB"/>
    <w:rsid w:val="00B95DEF"/>
    <w:rsid w:val="00B95EA1"/>
    <w:rsid w:val="00B96F89"/>
    <w:rsid w:val="00B97324"/>
    <w:rsid w:val="00B97872"/>
    <w:rsid w:val="00BA025A"/>
    <w:rsid w:val="00BA03EB"/>
    <w:rsid w:val="00BA0EC6"/>
    <w:rsid w:val="00BA23F1"/>
    <w:rsid w:val="00BA3727"/>
    <w:rsid w:val="00BA3AE0"/>
    <w:rsid w:val="00BA4571"/>
    <w:rsid w:val="00BA493F"/>
    <w:rsid w:val="00BA5D4D"/>
    <w:rsid w:val="00BA6D9F"/>
    <w:rsid w:val="00BA73D6"/>
    <w:rsid w:val="00BA74BE"/>
    <w:rsid w:val="00BA7846"/>
    <w:rsid w:val="00BB1617"/>
    <w:rsid w:val="00BB1C7E"/>
    <w:rsid w:val="00BB213C"/>
    <w:rsid w:val="00BB247E"/>
    <w:rsid w:val="00BB3D03"/>
    <w:rsid w:val="00BB3F15"/>
    <w:rsid w:val="00BB3F75"/>
    <w:rsid w:val="00BB539F"/>
    <w:rsid w:val="00BB5712"/>
    <w:rsid w:val="00BB6382"/>
    <w:rsid w:val="00BB6E5B"/>
    <w:rsid w:val="00BB73E1"/>
    <w:rsid w:val="00BB761F"/>
    <w:rsid w:val="00BC136B"/>
    <w:rsid w:val="00BC1C29"/>
    <w:rsid w:val="00BC4993"/>
    <w:rsid w:val="00BC4F2C"/>
    <w:rsid w:val="00BC592A"/>
    <w:rsid w:val="00BC5D04"/>
    <w:rsid w:val="00BC5EEC"/>
    <w:rsid w:val="00BC71A5"/>
    <w:rsid w:val="00BD1F62"/>
    <w:rsid w:val="00BD26FD"/>
    <w:rsid w:val="00BD2836"/>
    <w:rsid w:val="00BD2EAC"/>
    <w:rsid w:val="00BD4DE8"/>
    <w:rsid w:val="00BD5C16"/>
    <w:rsid w:val="00BE0341"/>
    <w:rsid w:val="00BE04ED"/>
    <w:rsid w:val="00BE117F"/>
    <w:rsid w:val="00BE1DEA"/>
    <w:rsid w:val="00BE30D8"/>
    <w:rsid w:val="00BE3732"/>
    <w:rsid w:val="00BE3DAE"/>
    <w:rsid w:val="00BE46F8"/>
    <w:rsid w:val="00BE4897"/>
    <w:rsid w:val="00BE49D4"/>
    <w:rsid w:val="00BE55C3"/>
    <w:rsid w:val="00BE5E05"/>
    <w:rsid w:val="00BE766A"/>
    <w:rsid w:val="00BF00D5"/>
    <w:rsid w:val="00BF01D0"/>
    <w:rsid w:val="00BF1A34"/>
    <w:rsid w:val="00BF3456"/>
    <w:rsid w:val="00BF3D71"/>
    <w:rsid w:val="00BF6444"/>
    <w:rsid w:val="00BF688F"/>
    <w:rsid w:val="00BF7667"/>
    <w:rsid w:val="00BF7D89"/>
    <w:rsid w:val="00C0037D"/>
    <w:rsid w:val="00C0057E"/>
    <w:rsid w:val="00C00D53"/>
    <w:rsid w:val="00C021F4"/>
    <w:rsid w:val="00C02438"/>
    <w:rsid w:val="00C02607"/>
    <w:rsid w:val="00C03361"/>
    <w:rsid w:val="00C047F1"/>
    <w:rsid w:val="00C055A6"/>
    <w:rsid w:val="00C0565A"/>
    <w:rsid w:val="00C07CEA"/>
    <w:rsid w:val="00C10F35"/>
    <w:rsid w:val="00C1310F"/>
    <w:rsid w:val="00C14BF3"/>
    <w:rsid w:val="00C15A09"/>
    <w:rsid w:val="00C16005"/>
    <w:rsid w:val="00C166CD"/>
    <w:rsid w:val="00C16D53"/>
    <w:rsid w:val="00C16F94"/>
    <w:rsid w:val="00C1746F"/>
    <w:rsid w:val="00C1784B"/>
    <w:rsid w:val="00C200C8"/>
    <w:rsid w:val="00C22DC4"/>
    <w:rsid w:val="00C23E2B"/>
    <w:rsid w:val="00C2435B"/>
    <w:rsid w:val="00C24E64"/>
    <w:rsid w:val="00C268D8"/>
    <w:rsid w:val="00C26B78"/>
    <w:rsid w:val="00C26F5B"/>
    <w:rsid w:val="00C30182"/>
    <w:rsid w:val="00C30DF8"/>
    <w:rsid w:val="00C31619"/>
    <w:rsid w:val="00C32C57"/>
    <w:rsid w:val="00C36BAB"/>
    <w:rsid w:val="00C37BB6"/>
    <w:rsid w:val="00C40038"/>
    <w:rsid w:val="00C401AF"/>
    <w:rsid w:val="00C403F6"/>
    <w:rsid w:val="00C40E92"/>
    <w:rsid w:val="00C41181"/>
    <w:rsid w:val="00C41ADD"/>
    <w:rsid w:val="00C42146"/>
    <w:rsid w:val="00C42A64"/>
    <w:rsid w:val="00C437D6"/>
    <w:rsid w:val="00C43BBD"/>
    <w:rsid w:val="00C453A8"/>
    <w:rsid w:val="00C475AF"/>
    <w:rsid w:val="00C500CC"/>
    <w:rsid w:val="00C50BE0"/>
    <w:rsid w:val="00C52E1F"/>
    <w:rsid w:val="00C52FC3"/>
    <w:rsid w:val="00C53A5D"/>
    <w:rsid w:val="00C54592"/>
    <w:rsid w:val="00C54635"/>
    <w:rsid w:val="00C56118"/>
    <w:rsid w:val="00C5680B"/>
    <w:rsid w:val="00C56B2A"/>
    <w:rsid w:val="00C5740D"/>
    <w:rsid w:val="00C5748F"/>
    <w:rsid w:val="00C578D8"/>
    <w:rsid w:val="00C57AFA"/>
    <w:rsid w:val="00C57D99"/>
    <w:rsid w:val="00C57DED"/>
    <w:rsid w:val="00C60027"/>
    <w:rsid w:val="00C606D8"/>
    <w:rsid w:val="00C63E97"/>
    <w:rsid w:val="00C64AD2"/>
    <w:rsid w:val="00C64AFC"/>
    <w:rsid w:val="00C66804"/>
    <w:rsid w:val="00C70180"/>
    <w:rsid w:val="00C70492"/>
    <w:rsid w:val="00C71B4C"/>
    <w:rsid w:val="00C72360"/>
    <w:rsid w:val="00C73240"/>
    <w:rsid w:val="00C7492C"/>
    <w:rsid w:val="00C76913"/>
    <w:rsid w:val="00C77051"/>
    <w:rsid w:val="00C7748A"/>
    <w:rsid w:val="00C7779E"/>
    <w:rsid w:val="00C77AB1"/>
    <w:rsid w:val="00C77FD3"/>
    <w:rsid w:val="00C80752"/>
    <w:rsid w:val="00C81279"/>
    <w:rsid w:val="00C824F7"/>
    <w:rsid w:val="00C845A7"/>
    <w:rsid w:val="00C8466C"/>
    <w:rsid w:val="00C85995"/>
    <w:rsid w:val="00C86814"/>
    <w:rsid w:val="00C87758"/>
    <w:rsid w:val="00C90727"/>
    <w:rsid w:val="00C92340"/>
    <w:rsid w:val="00C9246C"/>
    <w:rsid w:val="00C92F5E"/>
    <w:rsid w:val="00C93B11"/>
    <w:rsid w:val="00C94362"/>
    <w:rsid w:val="00C96593"/>
    <w:rsid w:val="00C96858"/>
    <w:rsid w:val="00C971BD"/>
    <w:rsid w:val="00CA1D5E"/>
    <w:rsid w:val="00CA37B1"/>
    <w:rsid w:val="00CA387F"/>
    <w:rsid w:val="00CA39BC"/>
    <w:rsid w:val="00CA4C1C"/>
    <w:rsid w:val="00CA6C96"/>
    <w:rsid w:val="00CB06BD"/>
    <w:rsid w:val="00CB14EA"/>
    <w:rsid w:val="00CB36AD"/>
    <w:rsid w:val="00CB3DF4"/>
    <w:rsid w:val="00CB49E1"/>
    <w:rsid w:val="00CB4E86"/>
    <w:rsid w:val="00CB525F"/>
    <w:rsid w:val="00CB560C"/>
    <w:rsid w:val="00CB6664"/>
    <w:rsid w:val="00CB6A66"/>
    <w:rsid w:val="00CB7058"/>
    <w:rsid w:val="00CC1DD1"/>
    <w:rsid w:val="00CC2626"/>
    <w:rsid w:val="00CC28D2"/>
    <w:rsid w:val="00CC320E"/>
    <w:rsid w:val="00CC4A19"/>
    <w:rsid w:val="00CC5307"/>
    <w:rsid w:val="00CC7CC0"/>
    <w:rsid w:val="00CC7E33"/>
    <w:rsid w:val="00CD207B"/>
    <w:rsid w:val="00CD40DF"/>
    <w:rsid w:val="00CD4318"/>
    <w:rsid w:val="00CD432D"/>
    <w:rsid w:val="00CD605E"/>
    <w:rsid w:val="00CD74B1"/>
    <w:rsid w:val="00CD7599"/>
    <w:rsid w:val="00CD7E98"/>
    <w:rsid w:val="00CE03CD"/>
    <w:rsid w:val="00CE0A6D"/>
    <w:rsid w:val="00CE0C27"/>
    <w:rsid w:val="00CE1396"/>
    <w:rsid w:val="00CE2225"/>
    <w:rsid w:val="00CE2BF4"/>
    <w:rsid w:val="00CE5E57"/>
    <w:rsid w:val="00CE5FB7"/>
    <w:rsid w:val="00CE667F"/>
    <w:rsid w:val="00CE6D73"/>
    <w:rsid w:val="00CE7996"/>
    <w:rsid w:val="00CF0671"/>
    <w:rsid w:val="00CF24CE"/>
    <w:rsid w:val="00CF28EE"/>
    <w:rsid w:val="00CF34CF"/>
    <w:rsid w:val="00CF3E03"/>
    <w:rsid w:val="00CF49EE"/>
    <w:rsid w:val="00CF5036"/>
    <w:rsid w:val="00CF5DDE"/>
    <w:rsid w:val="00CF623C"/>
    <w:rsid w:val="00CF7128"/>
    <w:rsid w:val="00CF79D8"/>
    <w:rsid w:val="00D01AE0"/>
    <w:rsid w:val="00D01EB5"/>
    <w:rsid w:val="00D01F75"/>
    <w:rsid w:val="00D02F94"/>
    <w:rsid w:val="00D04D30"/>
    <w:rsid w:val="00D0590D"/>
    <w:rsid w:val="00D100FC"/>
    <w:rsid w:val="00D1060A"/>
    <w:rsid w:val="00D11988"/>
    <w:rsid w:val="00D11999"/>
    <w:rsid w:val="00D1212F"/>
    <w:rsid w:val="00D12E86"/>
    <w:rsid w:val="00D142E1"/>
    <w:rsid w:val="00D146D5"/>
    <w:rsid w:val="00D15EE0"/>
    <w:rsid w:val="00D17034"/>
    <w:rsid w:val="00D17D55"/>
    <w:rsid w:val="00D20A2B"/>
    <w:rsid w:val="00D22655"/>
    <w:rsid w:val="00D22DA7"/>
    <w:rsid w:val="00D26069"/>
    <w:rsid w:val="00D302CC"/>
    <w:rsid w:val="00D3176B"/>
    <w:rsid w:val="00D3263F"/>
    <w:rsid w:val="00D326BA"/>
    <w:rsid w:val="00D35198"/>
    <w:rsid w:val="00D35706"/>
    <w:rsid w:val="00D364AA"/>
    <w:rsid w:val="00D366AC"/>
    <w:rsid w:val="00D36E92"/>
    <w:rsid w:val="00D37EFE"/>
    <w:rsid w:val="00D40102"/>
    <w:rsid w:val="00D41181"/>
    <w:rsid w:val="00D4161C"/>
    <w:rsid w:val="00D4386F"/>
    <w:rsid w:val="00D44ED4"/>
    <w:rsid w:val="00D44FE5"/>
    <w:rsid w:val="00D45017"/>
    <w:rsid w:val="00D457F0"/>
    <w:rsid w:val="00D50AB4"/>
    <w:rsid w:val="00D52B82"/>
    <w:rsid w:val="00D52C76"/>
    <w:rsid w:val="00D543BE"/>
    <w:rsid w:val="00D55836"/>
    <w:rsid w:val="00D5655B"/>
    <w:rsid w:val="00D56DEC"/>
    <w:rsid w:val="00D61039"/>
    <w:rsid w:val="00D63900"/>
    <w:rsid w:val="00D63DB9"/>
    <w:rsid w:val="00D64796"/>
    <w:rsid w:val="00D6595C"/>
    <w:rsid w:val="00D66667"/>
    <w:rsid w:val="00D67382"/>
    <w:rsid w:val="00D67F8F"/>
    <w:rsid w:val="00D7002D"/>
    <w:rsid w:val="00D71159"/>
    <w:rsid w:val="00D730AD"/>
    <w:rsid w:val="00D74C31"/>
    <w:rsid w:val="00D768C0"/>
    <w:rsid w:val="00D768D8"/>
    <w:rsid w:val="00D77D88"/>
    <w:rsid w:val="00D80FD5"/>
    <w:rsid w:val="00D81626"/>
    <w:rsid w:val="00D82C2A"/>
    <w:rsid w:val="00D83768"/>
    <w:rsid w:val="00D83B6D"/>
    <w:rsid w:val="00D83D84"/>
    <w:rsid w:val="00D85442"/>
    <w:rsid w:val="00D86267"/>
    <w:rsid w:val="00D862F1"/>
    <w:rsid w:val="00D86C63"/>
    <w:rsid w:val="00D90D0F"/>
    <w:rsid w:val="00D90ECE"/>
    <w:rsid w:val="00D91D45"/>
    <w:rsid w:val="00D92B68"/>
    <w:rsid w:val="00D945DB"/>
    <w:rsid w:val="00D95305"/>
    <w:rsid w:val="00D963ED"/>
    <w:rsid w:val="00D97ECA"/>
    <w:rsid w:val="00DA02F7"/>
    <w:rsid w:val="00DA1F19"/>
    <w:rsid w:val="00DA2EAA"/>
    <w:rsid w:val="00DA3486"/>
    <w:rsid w:val="00DA439B"/>
    <w:rsid w:val="00DA45DF"/>
    <w:rsid w:val="00DA4874"/>
    <w:rsid w:val="00DA5867"/>
    <w:rsid w:val="00DA6EC6"/>
    <w:rsid w:val="00DA7D75"/>
    <w:rsid w:val="00DB0C00"/>
    <w:rsid w:val="00DB0C52"/>
    <w:rsid w:val="00DB1C17"/>
    <w:rsid w:val="00DB2577"/>
    <w:rsid w:val="00DB2A47"/>
    <w:rsid w:val="00DB3F24"/>
    <w:rsid w:val="00DB47E8"/>
    <w:rsid w:val="00DB5113"/>
    <w:rsid w:val="00DB603B"/>
    <w:rsid w:val="00DC0B14"/>
    <w:rsid w:val="00DC1380"/>
    <w:rsid w:val="00DC1B9A"/>
    <w:rsid w:val="00DC26E4"/>
    <w:rsid w:val="00DC26F6"/>
    <w:rsid w:val="00DC2848"/>
    <w:rsid w:val="00DC305D"/>
    <w:rsid w:val="00DC4347"/>
    <w:rsid w:val="00DC5047"/>
    <w:rsid w:val="00DC5816"/>
    <w:rsid w:val="00DC5FB8"/>
    <w:rsid w:val="00DC7DF8"/>
    <w:rsid w:val="00DD01BF"/>
    <w:rsid w:val="00DD2058"/>
    <w:rsid w:val="00DD2486"/>
    <w:rsid w:val="00DD2D12"/>
    <w:rsid w:val="00DD4080"/>
    <w:rsid w:val="00DD55ED"/>
    <w:rsid w:val="00DD677C"/>
    <w:rsid w:val="00DE02E8"/>
    <w:rsid w:val="00DE2275"/>
    <w:rsid w:val="00DE232B"/>
    <w:rsid w:val="00DE26F9"/>
    <w:rsid w:val="00DE3607"/>
    <w:rsid w:val="00DE477E"/>
    <w:rsid w:val="00DE5022"/>
    <w:rsid w:val="00DE5AE3"/>
    <w:rsid w:val="00DE6D08"/>
    <w:rsid w:val="00DF062E"/>
    <w:rsid w:val="00DF0858"/>
    <w:rsid w:val="00DF10EE"/>
    <w:rsid w:val="00DF1FEA"/>
    <w:rsid w:val="00DF3078"/>
    <w:rsid w:val="00DF5063"/>
    <w:rsid w:val="00DF567A"/>
    <w:rsid w:val="00DF620A"/>
    <w:rsid w:val="00DF709F"/>
    <w:rsid w:val="00DF777C"/>
    <w:rsid w:val="00E00885"/>
    <w:rsid w:val="00E01653"/>
    <w:rsid w:val="00E0176B"/>
    <w:rsid w:val="00E019D0"/>
    <w:rsid w:val="00E02EE2"/>
    <w:rsid w:val="00E03B1F"/>
    <w:rsid w:val="00E059F5"/>
    <w:rsid w:val="00E06C1C"/>
    <w:rsid w:val="00E100BA"/>
    <w:rsid w:val="00E1223A"/>
    <w:rsid w:val="00E1338F"/>
    <w:rsid w:val="00E13404"/>
    <w:rsid w:val="00E14771"/>
    <w:rsid w:val="00E162C5"/>
    <w:rsid w:val="00E171D2"/>
    <w:rsid w:val="00E20387"/>
    <w:rsid w:val="00E24CE8"/>
    <w:rsid w:val="00E254CF"/>
    <w:rsid w:val="00E2567D"/>
    <w:rsid w:val="00E256FA"/>
    <w:rsid w:val="00E257DF"/>
    <w:rsid w:val="00E30A04"/>
    <w:rsid w:val="00E310B7"/>
    <w:rsid w:val="00E3182F"/>
    <w:rsid w:val="00E3414C"/>
    <w:rsid w:val="00E3491E"/>
    <w:rsid w:val="00E35522"/>
    <w:rsid w:val="00E402B8"/>
    <w:rsid w:val="00E4053F"/>
    <w:rsid w:val="00E41A80"/>
    <w:rsid w:val="00E4259B"/>
    <w:rsid w:val="00E42EFE"/>
    <w:rsid w:val="00E43059"/>
    <w:rsid w:val="00E44124"/>
    <w:rsid w:val="00E4547C"/>
    <w:rsid w:val="00E4555D"/>
    <w:rsid w:val="00E47687"/>
    <w:rsid w:val="00E47F60"/>
    <w:rsid w:val="00E47F9F"/>
    <w:rsid w:val="00E52D30"/>
    <w:rsid w:val="00E55544"/>
    <w:rsid w:val="00E56ECC"/>
    <w:rsid w:val="00E56FBC"/>
    <w:rsid w:val="00E571AD"/>
    <w:rsid w:val="00E57AD2"/>
    <w:rsid w:val="00E57B7F"/>
    <w:rsid w:val="00E60966"/>
    <w:rsid w:val="00E61945"/>
    <w:rsid w:val="00E62093"/>
    <w:rsid w:val="00E6402A"/>
    <w:rsid w:val="00E70353"/>
    <w:rsid w:val="00E714AB"/>
    <w:rsid w:val="00E71624"/>
    <w:rsid w:val="00E71E41"/>
    <w:rsid w:val="00E71E7E"/>
    <w:rsid w:val="00E72ACF"/>
    <w:rsid w:val="00E7465A"/>
    <w:rsid w:val="00E75213"/>
    <w:rsid w:val="00E80A59"/>
    <w:rsid w:val="00E8189D"/>
    <w:rsid w:val="00E81D39"/>
    <w:rsid w:val="00E8317D"/>
    <w:rsid w:val="00E838DA"/>
    <w:rsid w:val="00E84479"/>
    <w:rsid w:val="00E8510C"/>
    <w:rsid w:val="00E855DE"/>
    <w:rsid w:val="00E86F56"/>
    <w:rsid w:val="00E87633"/>
    <w:rsid w:val="00E8774C"/>
    <w:rsid w:val="00E913F1"/>
    <w:rsid w:val="00E9270C"/>
    <w:rsid w:val="00E95014"/>
    <w:rsid w:val="00E95648"/>
    <w:rsid w:val="00EA0B3A"/>
    <w:rsid w:val="00EA12D2"/>
    <w:rsid w:val="00EA1B99"/>
    <w:rsid w:val="00EA4E87"/>
    <w:rsid w:val="00EA5396"/>
    <w:rsid w:val="00EA61C6"/>
    <w:rsid w:val="00EA61C7"/>
    <w:rsid w:val="00EA6FB5"/>
    <w:rsid w:val="00EA7277"/>
    <w:rsid w:val="00EB071D"/>
    <w:rsid w:val="00EB453B"/>
    <w:rsid w:val="00EB5559"/>
    <w:rsid w:val="00EB5B30"/>
    <w:rsid w:val="00EB5B82"/>
    <w:rsid w:val="00EB5C23"/>
    <w:rsid w:val="00EB5D3E"/>
    <w:rsid w:val="00EB5E81"/>
    <w:rsid w:val="00EB67A4"/>
    <w:rsid w:val="00EB77C2"/>
    <w:rsid w:val="00EC02BB"/>
    <w:rsid w:val="00EC293E"/>
    <w:rsid w:val="00EC2E5D"/>
    <w:rsid w:val="00EC35DA"/>
    <w:rsid w:val="00EC393D"/>
    <w:rsid w:val="00EC3F6C"/>
    <w:rsid w:val="00EC432A"/>
    <w:rsid w:val="00EC508D"/>
    <w:rsid w:val="00EC541A"/>
    <w:rsid w:val="00EC78CF"/>
    <w:rsid w:val="00EC7CF8"/>
    <w:rsid w:val="00EC7E96"/>
    <w:rsid w:val="00ED12FD"/>
    <w:rsid w:val="00ED1C7D"/>
    <w:rsid w:val="00ED1EFE"/>
    <w:rsid w:val="00ED222C"/>
    <w:rsid w:val="00ED53E3"/>
    <w:rsid w:val="00ED6923"/>
    <w:rsid w:val="00ED71F8"/>
    <w:rsid w:val="00ED7E59"/>
    <w:rsid w:val="00EE1C5B"/>
    <w:rsid w:val="00EE472D"/>
    <w:rsid w:val="00EE5402"/>
    <w:rsid w:val="00EE6BD9"/>
    <w:rsid w:val="00EE6DFB"/>
    <w:rsid w:val="00EE75F4"/>
    <w:rsid w:val="00EE7B76"/>
    <w:rsid w:val="00EF0003"/>
    <w:rsid w:val="00EF00FF"/>
    <w:rsid w:val="00EF02B1"/>
    <w:rsid w:val="00EF1FAC"/>
    <w:rsid w:val="00EF351C"/>
    <w:rsid w:val="00EF4743"/>
    <w:rsid w:val="00EF4A8B"/>
    <w:rsid w:val="00EF4C70"/>
    <w:rsid w:val="00EF4DF5"/>
    <w:rsid w:val="00EF6D2F"/>
    <w:rsid w:val="00EF7310"/>
    <w:rsid w:val="00EF7D95"/>
    <w:rsid w:val="00F00DBD"/>
    <w:rsid w:val="00F0161D"/>
    <w:rsid w:val="00F025C2"/>
    <w:rsid w:val="00F02AD4"/>
    <w:rsid w:val="00F02E77"/>
    <w:rsid w:val="00F035AB"/>
    <w:rsid w:val="00F044BD"/>
    <w:rsid w:val="00F04AA9"/>
    <w:rsid w:val="00F04C07"/>
    <w:rsid w:val="00F04C77"/>
    <w:rsid w:val="00F067C5"/>
    <w:rsid w:val="00F1082B"/>
    <w:rsid w:val="00F131F6"/>
    <w:rsid w:val="00F135EC"/>
    <w:rsid w:val="00F146F6"/>
    <w:rsid w:val="00F14F84"/>
    <w:rsid w:val="00F168D8"/>
    <w:rsid w:val="00F20854"/>
    <w:rsid w:val="00F20BAD"/>
    <w:rsid w:val="00F20FF5"/>
    <w:rsid w:val="00F21006"/>
    <w:rsid w:val="00F22E73"/>
    <w:rsid w:val="00F24A53"/>
    <w:rsid w:val="00F266D5"/>
    <w:rsid w:val="00F267DB"/>
    <w:rsid w:val="00F26FD7"/>
    <w:rsid w:val="00F314E4"/>
    <w:rsid w:val="00F326B5"/>
    <w:rsid w:val="00F32F09"/>
    <w:rsid w:val="00F34238"/>
    <w:rsid w:val="00F34E4E"/>
    <w:rsid w:val="00F356EA"/>
    <w:rsid w:val="00F371DB"/>
    <w:rsid w:val="00F37648"/>
    <w:rsid w:val="00F37B0C"/>
    <w:rsid w:val="00F43272"/>
    <w:rsid w:val="00F43CB0"/>
    <w:rsid w:val="00F44800"/>
    <w:rsid w:val="00F45418"/>
    <w:rsid w:val="00F45BA7"/>
    <w:rsid w:val="00F46684"/>
    <w:rsid w:val="00F468ED"/>
    <w:rsid w:val="00F47618"/>
    <w:rsid w:val="00F47D4D"/>
    <w:rsid w:val="00F47EDC"/>
    <w:rsid w:val="00F50628"/>
    <w:rsid w:val="00F50D6E"/>
    <w:rsid w:val="00F5255F"/>
    <w:rsid w:val="00F5284E"/>
    <w:rsid w:val="00F5285C"/>
    <w:rsid w:val="00F53CD1"/>
    <w:rsid w:val="00F54777"/>
    <w:rsid w:val="00F54E0F"/>
    <w:rsid w:val="00F5614E"/>
    <w:rsid w:val="00F56F61"/>
    <w:rsid w:val="00F57C55"/>
    <w:rsid w:val="00F6036D"/>
    <w:rsid w:val="00F61398"/>
    <w:rsid w:val="00F6189A"/>
    <w:rsid w:val="00F61C64"/>
    <w:rsid w:val="00F62265"/>
    <w:rsid w:val="00F62B3B"/>
    <w:rsid w:val="00F62BC5"/>
    <w:rsid w:val="00F63ED7"/>
    <w:rsid w:val="00F63F93"/>
    <w:rsid w:val="00F65048"/>
    <w:rsid w:val="00F65804"/>
    <w:rsid w:val="00F65C1E"/>
    <w:rsid w:val="00F6642F"/>
    <w:rsid w:val="00F6783F"/>
    <w:rsid w:val="00F7040B"/>
    <w:rsid w:val="00F70E22"/>
    <w:rsid w:val="00F71AAD"/>
    <w:rsid w:val="00F72346"/>
    <w:rsid w:val="00F73B6F"/>
    <w:rsid w:val="00F749AD"/>
    <w:rsid w:val="00F758B8"/>
    <w:rsid w:val="00F76910"/>
    <w:rsid w:val="00F76BF2"/>
    <w:rsid w:val="00F76F39"/>
    <w:rsid w:val="00F774AD"/>
    <w:rsid w:val="00F8044E"/>
    <w:rsid w:val="00F80B42"/>
    <w:rsid w:val="00F8107B"/>
    <w:rsid w:val="00F81B2B"/>
    <w:rsid w:val="00F81F7D"/>
    <w:rsid w:val="00F826C9"/>
    <w:rsid w:val="00F8318F"/>
    <w:rsid w:val="00F83532"/>
    <w:rsid w:val="00F838A6"/>
    <w:rsid w:val="00F84F8B"/>
    <w:rsid w:val="00F85D25"/>
    <w:rsid w:val="00F86AD3"/>
    <w:rsid w:val="00F9157B"/>
    <w:rsid w:val="00F91B32"/>
    <w:rsid w:val="00F924B8"/>
    <w:rsid w:val="00F924CE"/>
    <w:rsid w:val="00F925D6"/>
    <w:rsid w:val="00F92CA0"/>
    <w:rsid w:val="00F92DA9"/>
    <w:rsid w:val="00F935C1"/>
    <w:rsid w:val="00F935C4"/>
    <w:rsid w:val="00F93887"/>
    <w:rsid w:val="00F938A5"/>
    <w:rsid w:val="00F944CB"/>
    <w:rsid w:val="00F9728B"/>
    <w:rsid w:val="00F9780D"/>
    <w:rsid w:val="00FA02D9"/>
    <w:rsid w:val="00FA2BC2"/>
    <w:rsid w:val="00FA3312"/>
    <w:rsid w:val="00FA33F0"/>
    <w:rsid w:val="00FA3974"/>
    <w:rsid w:val="00FA4314"/>
    <w:rsid w:val="00FA4D17"/>
    <w:rsid w:val="00FA4D35"/>
    <w:rsid w:val="00FA51E5"/>
    <w:rsid w:val="00FA623B"/>
    <w:rsid w:val="00FA6FE2"/>
    <w:rsid w:val="00FA703B"/>
    <w:rsid w:val="00FB0CF2"/>
    <w:rsid w:val="00FB1AC1"/>
    <w:rsid w:val="00FB1D0A"/>
    <w:rsid w:val="00FB2992"/>
    <w:rsid w:val="00FB4690"/>
    <w:rsid w:val="00FB539E"/>
    <w:rsid w:val="00FB5F5D"/>
    <w:rsid w:val="00FB63FA"/>
    <w:rsid w:val="00FB6EB3"/>
    <w:rsid w:val="00FB6FB0"/>
    <w:rsid w:val="00FB7A1E"/>
    <w:rsid w:val="00FC17BD"/>
    <w:rsid w:val="00FC1E7F"/>
    <w:rsid w:val="00FC225E"/>
    <w:rsid w:val="00FC2624"/>
    <w:rsid w:val="00FC27DC"/>
    <w:rsid w:val="00FC2FDB"/>
    <w:rsid w:val="00FC4A55"/>
    <w:rsid w:val="00FC65E5"/>
    <w:rsid w:val="00FC69C8"/>
    <w:rsid w:val="00FC7274"/>
    <w:rsid w:val="00FD013A"/>
    <w:rsid w:val="00FD10AF"/>
    <w:rsid w:val="00FD227E"/>
    <w:rsid w:val="00FD2392"/>
    <w:rsid w:val="00FD2422"/>
    <w:rsid w:val="00FD428A"/>
    <w:rsid w:val="00FD5276"/>
    <w:rsid w:val="00FD633C"/>
    <w:rsid w:val="00FD6A49"/>
    <w:rsid w:val="00FE0769"/>
    <w:rsid w:val="00FE129A"/>
    <w:rsid w:val="00FE334C"/>
    <w:rsid w:val="00FE374D"/>
    <w:rsid w:val="00FE3914"/>
    <w:rsid w:val="00FE411B"/>
    <w:rsid w:val="00FE4644"/>
    <w:rsid w:val="00FE4B4C"/>
    <w:rsid w:val="00FE50F7"/>
    <w:rsid w:val="00FE5603"/>
    <w:rsid w:val="00FE73BC"/>
    <w:rsid w:val="00FF223B"/>
    <w:rsid w:val="00FF27C3"/>
    <w:rsid w:val="00FF2D03"/>
    <w:rsid w:val="00FF32C9"/>
    <w:rsid w:val="00FF3394"/>
    <w:rsid w:val="00FF3646"/>
    <w:rsid w:val="00FF6180"/>
    <w:rsid w:val="00FF695F"/>
    <w:rsid w:val="00FF6B86"/>
    <w:rsid w:val="00FF6C70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4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8"/>
    <w:lsdException w:name="heading 5" w:uiPriority="8"/>
    <w:lsdException w:name="heading 6" w:uiPriority="8"/>
    <w:lsdException w:name="heading 7" w:semiHidden="1" w:uiPriority="8" w:unhideWhenUsed="1"/>
    <w:lsdException w:name="heading 8" w:semiHidden="1" w:uiPriority="8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66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Heading 1_UMAR"/>
    <w:next w:val="BesediloUMAR"/>
    <w:link w:val="Naslov1Znak"/>
    <w:uiPriority w:val="1"/>
    <w:qFormat/>
    <w:rsid w:val="001B0E8C"/>
    <w:pPr>
      <w:keepNext/>
      <w:keepLines/>
      <w:pageBreakBefore/>
      <w:numPr>
        <w:numId w:val="2"/>
      </w:numPr>
      <w:spacing w:before="200" w:after="100" w:line="288" w:lineRule="auto"/>
      <w:ind w:left="357" w:hanging="357"/>
      <w:outlineLvl w:val="0"/>
    </w:pPr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paragraph" w:styleId="Naslov2">
    <w:name w:val="heading 2"/>
    <w:aliases w:val="Heading 2_UMAR"/>
    <w:next w:val="BesediloUMAR"/>
    <w:link w:val="Naslov2Znak"/>
    <w:uiPriority w:val="2"/>
    <w:qFormat/>
    <w:rsid w:val="001B0E8C"/>
    <w:pPr>
      <w:keepNext/>
      <w:keepLines/>
      <w:numPr>
        <w:ilvl w:val="1"/>
        <w:numId w:val="2"/>
      </w:numPr>
      <w:spacing w:before="200" w:after="100" w:line="288" w:lineRule="auto"/>
      <w:contextualSpacing/>
      <w:outlineLvl w:val="1"/>
    </w:pPr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paragraph" w:styleId="Naslov3">
    <w:name w:val="heading 3"/>
    <w:aliases w:val="Heading 3_UMAR"/>
    <w:next w:val="BesediloUMAR"/>
    <w:link w:val="Naslov3Znak"/>
    <w:uiPriority w:val="3"/>
    <w:qFormat/>
    <w:rsid w:val="001B0E8C"/>
    <w:pPr>
      <w:keepNext/>
      <w:keepLines/>
      <w:numPr>
        <w:ilvl w:val="2"/>
        <w:numId w:val="2"/>
      </w:numPr>
      <w:spacing w:before="200" w:after="100" w:line="288" w:lineRule="auto"/>
      <w:contextualSpacing/>
      <w:outlineLvl w:val="2"/>
    </w:pPr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paragraph" w:styleId="Naslov4">
    <w:name w:val="heading 4"/>
    <w:basedOn w:val="Navaden"/>
    <w:next w:val="Navaden"/>
    <w:uiPriority w:val="8"/>
    <w:unhideWhenUsed/>
    <w:rsid w:val="001B0E8C"/>
    <w:pPr>
      <w:keepNext/>
      <w:numPr>
        <w:ilvl w:val="3"/>
        <w:numId w:val="2"/>
      </w:numPr>
      <w:spacing w:before="360" w:after="240"/>
      <w:outlineLvl w:val="3"/>
    </w:pPr>
    <w:rPr>
      <w:rFonts w:ascii="Myriad Pro" w:hAnsi="Myriad Pro"/>
      <w:b/>
      <w:bCs/>
    </w:rPr>
  </w:style>
  <w:style w:type="paragraph" w:styleId="Naslov5">
    <w:name w:val="heading 5"/>
    <w:basedOn w:val="Navaden"/>
    <w:next w:val="Navaden"/>
    <w:uiPriority w:val="8"/>
    <w:unhideWhenUsed/>
    <w:rsid w:val="001B0E8C"/>
    <w:pPr>
      <w:numPr>
        <w:ilvl w:val="4"/>
        <w:numId w:val="2"/>
      </w:numPr>
      <w:spacing w:before="240" w:after="60"/>
      <w:outlineLvl w:val="4"/>
    </w:pPr>
    <w:rPr>
      <w:rFonts w:ascii="Myriad Pro" w:hAnsi="Myriad Pro"/>
      <w:b/>
      <w:bCs/>
      <w:iCs/>
      <w:szCs w:val="26"/>
    </w:rPr>
  </w:style>
  <w:style w:type="paragraph" w:styleId="Naslov6">
    <w:name w:val="heading 6"/>
    <w:basedOn w:val="Navaden"/>
    <w:next w:val="Navaden"/>
    <w:uiPriority w:val="8"/>
    <w:unhideWhenUsed/>
    <w:rsid w:val="001B0E8C"/>
    <w:pPr>
      <w:numPr>
        <w:ilvl w:val="5"/>
        <w:numId w:val="2"/>
      </w:numPr>
      <w:spacing w:before="240" w:after="60"/>
      <w:outlineLvl w:val="5"/>
    </w:pPr>
    <w:rPr>
      <w:rFonts w:ascii="Myriad Pro" w:hAnsi="Myriad Pro"/>
      <w:b/>
      <w:bCs/>
    </w:rPr>
  </w:style>
  <w:style w:type="paragraph" w:styleId="Naslov7">
    <w:name w:val="heading 7"/>
    <w:basedOn w:val="Navaden"/>
    <w:next w:val="Navaden"/>
    <w:uiPriority w:val="8"/>
    <w:unhideWhenUsed/>
    <w:rsid w:val="001B0E8C"/>
    <w:pPr>
      <w:numPr>
        <w:ilvl w:val="6"/>
        <w:numId w:val="2"/>
      </w:numPr>
      <w:spacing w:before="240" w:after="60"/>
      <w:outlineLvl w:val="6"/>
    </w:pPr>
    <w:rPr>
      <w:rFonts w:ascii="Myriad Pro" w:hAnsi="Myriad Pro"/>
    </w:rPr>
  </w:style>
  <w:style w:type="paragraph" w:styleId="Naslov8">
    <w:name w:val="heading 8"/>
    <w:basedOn w:val="Navaden"/>
    <w:next w:val="Navaden"/>
    <w:uiPriority w:val="8"/>
    <w:unhideWhenUsed/>
    <w:rsid w:val="001B0E8C"/>
    <w:pPr>
      <w:numPr>
        <w:ilvl w:val="7"/>
        <w:numId w:val="2"/>
      </w:numPr>
      <w:spacing w:before="240" w:after="60"/>
      <w:outlineLvl w:val="7"/>
    </w:pPr>
    <w:rPr>
      <w:rFonts w:ascii="Myriad Pro" w:hAnsi="Myriad Pro"/>
      <w:i/>
      <w:iCs/>
    </w:rPr>
  </w:style>
  <w:style w:type="paragraph" w:styleId="Naslov9">
    <w:name w:val="heading 9"/>
    <w:basedOn w:val="Navaden"/>
    <w:next w:val="Navaden"/>
    <w:uiPriority w:val="8"/>
    <w:unhideWhenUsed/>
    <w:rsid w:val="001B0E8C"/>
    <w:pPr>
      <w:numPr>
        <w:ilvl w:val="8"/>
        <w:numId w:val="2"/>
      </w:numPr>
      <w:spacing w:before="240" w:after="60"/>
      <w:outlineLvl w:val="8"/>
    </w:pPr>
    <w:rPr>
      <w:rFonts w:ascii="Myriad Pro" w:hAnsi="Myriad Pro" w:cs="Arial"/>
    </w:rPr>
  </w:style>
  <w:style w:type="character" w:default="1" w:styleId="Privzetapisavaodstavka">
    <w:name w:val="Default Paragraph Font"/>
    <w:uiPriority w:val="1"/>
    <w:semiHidden/>
    <w:unhideWhenUsed/>
    <w:rsid w:val="009B66AC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  <w:rsid w:val="009B66AC"/>
  </w:style>
  <w:style w:type="paragraph" w:styleId="Sprotnaopomba-besedilo">
    <w:name w:val="footnote text"/>
    <w:basedOn w:val="BesediloUMAR"/>
    <w:link w:val="Sprotnaopomba-besediloZnak"/>
    <w:autoRedefine/>
    <w:uiPriority w:val="8"/>
    <w:qFormat/>
    <w:rsid w:val="00EF02B1"/>
    <w:pPr>
      <w:spacing w:line="264" w:lineRule="auto"/>
    </w:pPr>
    <w:rPr>
      <w:sz w:val="16"/>
      <w:szCs w:val="14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8"/>
    <w:rsid w:val="00EF02B1"/>
    <w:rPr>
      <w:rFonts w:ascii="Myriad Pro" w:eastAsiaTheme="minorHAnsi" w:hAnsi="Myriad Pro" w:cstheme="minorBidi"/>
      <w:sz w:val="16"/>
      <w:szCs w:val="14"/>
      <w:lang w:eastAsia="en-US"/>
    </w:rPr>
  </w:style>
  <w:style w:type="character" w:styleId="Sprotnaopomba-sklic">
    <w:name w:val="footnote reference"/>
    <w:aliases w:val="Footnote symbol,Fussnota,Footnote,Footnote reference number,note TESI,SUPERS,EN Footnote Reference,-E Fußnotenzeichen,Times 10 Point,Exposant 3 Point,E...,nota de rodapé,Footnote Reference_LVL6,Footnote Reference_LVL61,Footnot"/>
    <w:basedOn w:val="Privzetapisavaodstavka"/>
    <w:uiPriority w:val="8"/>
    <w:rsid w:val="001B0E8C"/>
    <w:rPr>
      <w:rFonts w:ascii="Myriad Pro" w:hAnsi="Myriad Pro"/>
      <w:sz w:val="18"/>
      <w:vertAlign w:val="superscript"/>
    </w:rPr>
  </w:style>
  <w:style w:type="paragraph" w:styleId="Napis">
    <w:name w:val="caption"/>
    <w:aliases w:val="Okvir/Slika/Tabela_UMAR,DZ_Okvir_Slika_Tabela_Zemljevid"/>
    <w:basedOn w:val="Kazaloslik"/>
    <w:next w:val="BesediloUMAR"/>
    <w:link w:val="NapisZnak"/>
    <w:uiPriority w:val="4"/>
    <w:qFormat/>
    <w:rsid w:val="001B0E8C"/>
    <w:pPr>
      <w:keepNext/>
      <w:keepLines/>
      <w:spacing w:before="240" w:after="60"/>
      <w:contextualSpacing/>
    </w:pPr>
    <w:rPr>
      <w:b/>
      <w:bCs/>
    </w:rPr>
  </w:style>
  <w:style w:type="paragraph" w:styleId="Noga">
    <w:name w:val="footer"/>
    <w:basedOn w:val="Navaden"/>
    <w:next w:val="Navaden"/>
    <w:link w:val="NogaZnak"/>
    <w:autoRedefine/>
    <w:uiPriority w:val="99"/>
    <w:rsid w:val="001B0E8C"/>
    <w:pPr>
      <w:framePr w:wrap="around" w:vAnchor="text" w:hAnchor="margin" w:xAlign="center" w:y="1"/>
      <w:tabs>
        <w:tab w:val="center" w:pos="4536"/>
        <w:tab w:val="right" w:pos="9072"/>
      </w:tabs>
      <w:spacing w:after="0" w:line="288" w:lineRule="auto"/>
      <w:jc w:val="center"/>
    </w:pPr>
    <w:rPr>
      <w:rFonts w:ascii="Myriad Pro" w:hAnsi="Myriad Pro"/>
      <w:noProof/>
      <w:sz w:val="16"/>
      <w:szCs w:val="16"/>
    </w:rPr>
  </w:style>
  <w:style w:type="paragraph" w:styleId="Kazaloslik">
    <w:name w:val="table of figures"/>
    <w:basedOn w:val="BesediloUMAR"/>
    <w:next w:val="BesediloUMAR"/>
    <w:autoRedefine/>
    <w:uiPriority w:val="99"/>
    <w:rsid w:val="001B0E8C"/>
    <w:pPr>
      <w:tabs>
        <w:tab w:val="right" w:leader="dot" w:pos="9070"/>
      </w:tabs>
    </w:pPr>
    <w:rPr>
      <w:noProof/>
      <w:szCs w:val="20"/>
    </w:rPr>
  </w:style>
  <w:style w:type="paragraph" w:styleId="Kazalovirov">
    <w:name w:val="table of authorities"/>
    <w:basedOn w:val="Navaden"/>
    <w:next w:val="Navaden"/>
    <w:semiHidden/>
    <w:rsid w:val="001B0E8C"/>
    <w:pPr>
      <w:ind w:left="220" w:hanging="220"/>
    </w:pPr>
  </w:style>
  <w:style w:type="paragraph" w:styleId="Kazalovirov-naslov">
    <w:name w:val="toa heading"/>
    <w:basedOn w:val="Navaden"/>
    <w:next w:val="Navaden"/>
    <w:semiHidden/>
    <w:rsid w:val="001B0E8C"/>
    <w:pPr>
      <w:spacing w:before="120"/>
    </w:pPr>
    <w:rPr>
      <w:rFonts w:cs="Arial"/>
      <w:b/>
      <w:bCs/>
    </w:rPr>
  </w:style>
  <w:style w:type="paragraph" w:styleId="Kazalovsebine1">
    <w:name w:val="toc 1"/>
    <w:basedOn w:val="BesediloUMAR"/>
    <w:next w:val="BesediloUMAR"/>
    <w:autoRedefine/>
    <w:uiPriority w:val="39"/>
    <w:rsid w:val="00610F1A"/>
    <w:pPr>
      <w:tabs>
        <w:tab w:val="left" w:pos="340"/>
        <w:tab w:val="right" w:leader="dot" w:pos="9070"/>
      </w:tabs>
      <w:spacing w:before="100" w:after="100"/>
    </w:pPr>
    <w:rPr>
      <w:rFonts w:cs="Arial"/>
      <w:noProof/>
      <w:szCs w:val="20"/>
    </w:rPr>
  </w:style>
  <w:style w:type="paragraph" w:styleId="Kazalovsebine2">
    <w:name w:val="toc 2"/>
    <w:basedOn w:val="BesediloUMAR"/>
    <w:next w:val="BesediloUMAR"/>
    <w:autoRedefine/>
    <w:uiPriority w:val="39"/>
    <w:rsid w:val="001B0E8C"/>
    <w:pPr>
      <w:tabs>
        <w:tab w:val="right" w:leader="dot" w:pos="9070"/>
      </w:tabs>
      <w:spacing w:before="100" w:after="100"/>
      <w:ind w:left="340"/>
    </w:pPr>
    <w:rPr>
      <w:noProof/>
    </w:rPr>
  </w:style>
  <w:style w:type="paragraph" w:styleId="Kazalovsebine3">
    <w:name w:val="toc 3"/>
    <w:next w:val="BesediloUMAR"/>
    <w:autoRedefine/>
    <w:uiPriority w:val="39"/>
    <w:rsid w:val="001B0E8C"/>
    <w:pPr>
      <w:tabs>
        <w:tab w:val="right" w:leader="dot" w:pos="9070"/>
      </w:tabs>
      <w:spacing w:after="100" w:line="288" w:lineRule="auto"/>
      <w:ind w:left="680"/>
      <w:jc w:val="both"/>
    </w:pPr>
    <w:rPr>
      <w:rFonts w:ascii="Myriad Pro" w:eastAsiaTheme="minorHAnsi" w:hAnsi="Myriad Pro" w:cstheme="minorBidi"/>
      <w:szCs w:val="22"/>
      <w:lang w:eastAsia="en-US"/>
    </w:rPr>
  </w:style>
  <w:style w:type="paragraph" w:styleId="Kazalovsebine4">
    <w:name w:val="toc 4"/>
    <w:basedOn w:val="Navaden"/>
    <w:autoRedefine/>
    <w:semiHidden/>
    <w:rsid w:val="001B0E8C"/>
    <w:pPr>
      <w:spacing w:after="20"/>
      <w:ind w:left="340"/>
      <w:contextualSpacing/>
    </w:pPr>
  </w:style>
  <w:style w:type="paragraph" w:styleId="Kazalovsebine5">
    <w:name w:val="toc 5"/>
    <w:basedOn w:val="Navaden"/>
    <w:autoRedefine/>
    <w:semiHidden/>
    <w:rsid w:val="001B0E8C"/>
    <w:pPr>
      <w:spacing w:after="20"/>
      <w:contextualSpacing/>
    </w:pPr>
  </w:style>
  <w:style w:type="paragraph" w:styleId="Kazalovsebine6">
    <w:name w:val="toc 6"/>
    <w:basedOn w:val="Navaden"/>
    <w:next w:val="Navaden"/>
    <w:autoRedefine/>
    <w:semiHidden/>
    <w:rsid w:val="001B0E8C"/>
    <w:pPr>
      <w:ind w:left="1100"/>
    </w:pPr>
  </w:style>
  <w:style w:type="paragraph" w:styleId="Kazalovsebine7">
    <w:name w:val="toc 7"/>
    <w:basedOn w:val="Navaden"/>
    <w:next w:val="Navaden"/>
    <w:autoRedefine/>
    <w:semiHidden/>
    <w:rsid w:val="001B0E8C"/>
    <w:pPr>
      <w:ind w:left="1320"/>
    </w:pPr>
  </w:style>
  <w:style w:type="paragraph" w:styleId="Kazalovsebine8">
    <w:name w:val="toc 8"/>
    <w:basedOn w:val="Navaden"/>
    <w:next w:val="Navaden"/>
    <w:autoRedefine/>
    <w:semiHidden/>
    <w:rsid w:val="001B0E8C"/>
    <w:pPr>
      <w:ind w:left="1540"/>
    </w:pPr>
  </w:style>
  <w:style w:type="paragraph" w:styleId="Kazalovsebine9">
    <w:name w:val="toc 9"/>
    <w:basedOn w:val="Navaden"/>
    <w:next w:val="Navaden"/>
    <w:autoRedefine/>
    <w:semiHidden/>
    <w:rsid w:val="001B0E8C"/>
    <w:pPr>
      <w:ind w:left="1760"/>
    </w:pPr>
  </w:style>
  <w:style w:type="paragraph" w:styleId="Pripombabesedilo">
    <w:name w:val="annotation text"/>
    <w:basedOn w:val="Navaden"/>
    <w:link w:val="PripombabesediloZnak"/>
    <w:semiHidden/>
    <w:rsid w:val="001B0E8C"/>
    <w:rPr>
      <w:szCs w:val="20"/>
    </w:rPr>
  </w:style>
  <w:style w:type="character" w:styleId="Pripombasklic">
    <w:name w:val="annotation reference"/>
    <w:basedOn w:val="Privzetapisavaodstavka"/>
    <w:semiHidden/>
    <w:rsid w:val="001B0E8C"/>
    <w:rPr>
      <w:sz w:val="16"/>
      <w:szCs w:val="16"/>
    </w:rPr>
  </w:style>
  <w:style w:type="paragraph" w:styleId="Konnaopomba-besedilo">
    <w:name w:val="endnote text"/>
    <w:basedOn w:val="Navaden"/>
    <w:autoRedefine/>
    <w:semiHidden/>
    <w:rsid w:val="001B0E8C"/>
    <w:rPr>
      <w:szCs w:val="20"/>
    </w:rPr>
  </w:style>
  <w:style w:type="character" w:styleId="Konnaopomba-sklic">
    <w:name w:val="endnote reference"/>
    <w:basedOn w:val="Privzetapisavaodstavka"/>
    <w:semiHidden/>
    <w:rsid w:val="001B0E8C"/>
    <w:rPr>
      <w:vertAlign w:val="superscript"/>
    </w:rPr>
  </w:style>
  <w:style w:type="paragraph" w:styleId="Makrobesedilo">
    <w:name w:val="macro"/>
    <w:semiHidden/>
    <w:rsid w:val="001B0E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</w:rPr>
  </w:style>
  <w:style w:type="paragraph" w:styleId="Stvarnokazalo1">
    <w:name w:val="index 1"/>
    <w:basedOn w:val="Navaden"/>
    <w:next w:val="Navaden"/>
    <w:autoRedefine/>
    <w:semiHidden/>
    <w:rsid w:val="001B0E8C"/>
    <w:pPr>
      <w:ind w:left="220" w:hanging="220"/>
    </w:pPr>
  </w:style>
  <w:style w:type="paragraph" w:styleId="Stvarnokazalo-naslov">
    <w:name w:val="index heading"/>
    <w:basedOn w:val="Navaden"/>
    <w:next w:val="Stvarnokazalo1"/>
    <w:semiHidden/>
    <w:rsid w:val="001B0E8C"/>
    <w:rPr>
      <w:rFonts w:cs="Arial"/>
      <w:b/>
      <w:bCs/>
    </w:rPr>
  </w:style>
  <w:style w:type="paragraph" w:styleId="Stvarnokazalo2">
    <w:name w:val="index 2"/>
    <w:basedOn w:val="Navaden"/>
    <w:next w:val="Navaden"/>
    <w:autoRedefine/>
    <w:semiHidden/>
    <w:rsid w:val="001B0E8C"/>
    <w:pPr>
      <w:ind w:left="440" w:hanging="220"/>
    </w:pPr>
  </w:style>
  <w:style w:type="paragraph" w:styleId="Stvarnokazalo3">
    <w:name w:val="index 3"/>
    <w:basedOn w:val="Navaden"/>
    <w:next w:val="Navaden"/>
    <w:autoRedefine/>
    <w:semiHidden/>
    <w:rsid w:val="001B0E8C"/>
    <w:pPr>
      <w:ind w:left="660" w:hanging="220"/>
    </w:pPr>
  </w:style>
  <w:style w:type="paragraph" w:styleId="Stvarnokazalo4">
    <w:name w:val="index 4"/>
    <w:basedOn w:val="Navaden"/>
    <w:next w:val="Navaden"/>
    <w:autoRedefine/>
    <w:semiHidden/>
    <w:rsid w:val="001B0E8C"/>
    <w:pPr>
      <w:ind w:left="880" w:hanging="220"/>
    </w:pPr>
  </w:style>
  <w:style w:type="paragraph" w:styleId="Stvarnokazalo5">
    <w:name w:val="index 5"/>
    <w:basedOn w:val="Navaden"/>
    <w:next w:val="Navaden"/>
    <w:autoRedefine/>
    <w:semiHidden/>
    <w:rsid w:val="001B0E8C"/>
    <w:pPr>
      <w:ind w:left="1100" w:hanging="220"/>
    </w:pPr>
  </w:style>
  <w:style w:type="paragraph" w:styleId="Stvarnokazalo6">
    <w:name w:val="index 6"/>
    <w:basedOn w:val="Navaden"/>
    <w:next w:val="Navaden"/>
    <w:autoRedefine/>
    <w:semiHidden/>
    <w:rsid w:val="001B0E8C"/>
    <w:pPr>
      <w:ind w:left="1320" w:hanging="220"/>
    </w:pPr>
  </w:style>
  <w:style w:type="paragraph" w:styleId="Stvarnokazalo7">
    <w:name w:val="index 7"/>
    <w:basedOn w:val="Navaden"/>
    <w:next w:val="Navaden"/>
    <w:autoRedefine/>
    <w:semiHidden/>
    <w:rsid w:val="001B0E8C"/>
    <w:pPr>
      <w:ind w:left="1540" w:hanging="220"/>
    </w:pPr>
  </w:style>
  <w:style w:type="paragraph" w:styleId="Stvarnokazalo8">
    <w:name w:val="index 8"/>
    <w:basedOn w:val="Navaden"/>
    <w:next w:val="Navaden"/>
    <w:autoRedefine/>
    <w:semiHidden/>
    <w:rsid w:val="001B0E8C"/>
    <w:pPr>
      <w:ind w:left="1760" w:hanging="220"/>
    </w:pPr>
  </w:style>
  <w:style w:type="paragraph" w:styleId="Stvarnokazalo9">
    <w:name w:val="index 9"/>
    <w:basedOn w:val="Navaden"/>
    <w:next w:val="Navaden"/>
    <w:autoRedefine/>
    <w:semiHidden/>
    <w:rsid w:val="001B0E8C"/>
    <w:pPr>
      <w:ind w:left="1980" w:hanging="220"/>
    </w:pPr>
  </w:style>
  <w:style w:type="paragraph" w:styleId="Zgradbadokumenta">
    <w:name w:val="Document Map"/>
    <w:basedOn w:val="Navaden"/>
    <w:semiHidden/>
    <w:rsid w:val="001B0E8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dilnistavekUMAR">
    <w:name w:val="Vodilni stavek_UMAR"/>
    <w:basedOn w:val="Privzetapisavaodstavka"/>
    <w:qFormat/>
    <w:rsid w:val="001B0E8C"/>
    <w:rPr>
      <w:b/>
    </w:rPr>
  </w:style>
  <w:style w:type="paragraph" w:styleId="Besedilooblaka">
    <w:name w:val="Balloon Text"/>
    <w:basedOn w:val="Navaden"/>
    <w:semiHidden/>
    <w:rsid w:val="001B0E8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1B0E8C"/>
    <w:rPr>
      <w:rFonts w:ascii="Myriad Pro" w:eastAsiaTheme="minorHAnsi" w:hAnsi="Myriad Pro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1B0E8C"/>
    <w:rPr>
      <w:rFonts w:ascii="Myriad Pro" w:eastAsia="Calibri" w:hAnsi="Myriad Pr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rsid w:val="001B0E8C"/>
    <w:pPr>
      <w:tabs>
        <w:tab w:val="center" w:pos="4536"/>
        <w:tab w:val="right" w:pos="9072"/>
      </w:tabs>
    </w:pPr>
    <w:rPr>
      <w:rFonts w:ascii="Myriad Pro" w:hAnsi="Myriad Pro"/>
    </w:rPr>
  </w:style>
  <w:style w:type="character" w:styleId="Hiperpovezava">
    <w:name w:val="Hyperlink"/>
    <w:basedOn w:val="BesediloUMARChar"/>
    <w:uiPriority w:val="99"/>
    <w:rsid w:val="001B0E8C"/>
    <w:rPr>
      <w:rFonts w:ascii="Myriad Pro" w:eastAsiaTheme="minorHAnsi" w:hAnsi="Myriad Pro" w:cstheme="minorBidi"/>
      <w:color w:val="0000FF"/>
      <w:szCs w:val="22"/>
      <w:u w:val="single"/>
      <w:lang w:eastAsia="en-US"/>
    </w:rPr>
  </w:style>
  <w:style w:type="character" w:styleId="Poudarek">
    <w:name w:val="Emphasis"/>
    <w:aliases w:val="Italic poudarek_UMAR"/>
    <w:basedOn w:val="BesediloUMARChar"/>
    <w:qFormat/>
    <w:rsid w:val="001B0E8C"/>
    <w:rPr>
      <w:rFonts w:ascii="Myriad Pro" w:eastAsiaTheme="minorHAnsi" w:hAnsi="Myriad Pro" w:cstheme="minorBidi"/>
      <w:i/>
      <w:iCs/>
      <w:szCs w:val="22"/>
      <w:lang w:eastAsia="en-US"/>
    </w:rPr>
  </w:style>
  <w:style w:type="character" w:customStyle="1" w:styleId="Naslov3Znak">
    <w:name w:val="Naslov 3 Znak"/>
    <w:aliases w:val="Heading 3_UMAR Znak"/>
    <w:basedOn w:val="Privzetapisavaodstavka"/>
    <w:link w:val="Naslov3"/>
    <w:uiPriority w:val="3"/>
    <w:rsid w:val="001B0E8C"/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character" w:customStyle="1" w:styleId="Naslov2Znak">
    <w:name w:val="Naslov 2 Znak"/>
    <w:aliases w:val="Heading 2_UMAR Znak"/>
    <w:basedOn w:val="Privzetapisavaodstavka"/>
    <w:link w:val="Naslov2"/>
    <w:uiPriority w:val="2"/>
    <w:rsid w:val="001B0E8C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character" w:customStyle="1" w:styleId="Naslov1Znak">
    <w:name w:val="Naslov 1 Znak"/>
    <w:aliases w:val="Heading 1_UMAR Znak"/>
    <w:basedOn w:val="Privzetapisavaodstavka"/>
    <w:link w:val="Naslov1"/>
    <w:uiPriority w:val="1"/>
    <w:rsid w:val="001B0E8C"/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1B0E8C"/>
    <w:rPr>
      <w:color w:val="808080"/>
    </w:rPr>
  </w:style>
  <w:style w:type="character" w:customStyle="1" w:styleId="NogaZnak">
    <w:name w:val="Noga Znak"/>
    <w:basedOn w:val="Privzetapisavaodstavka"/>
    <w:link w:val="Noga"/>
    <w:uiPriority w:val="99"/>
    <w:rsid w:val="001B0E8C"/>
    <w:rPr>
      <w:rFonts w:ascii="Myriad Pro" w:eastAsiaTheme="minorHAnsi" w:hAnsi="Myriad Pro" w:cstheme="minorBidi"/>
      <w:noProof/>
      <w:sz w:val="16"/>
      <w:szCs w:val="16"/>
      <w:lang w:eastAsia="en-US"/>
    </w:rPr>
  </w:style>
  <w:style w:type="paragraph" w:customStyle="1" w:styleId="BesediloUMAR">
    <w:name w:val="Besedilo_UMAR"/>
    <w:link w:val="BesediloUMARChar"/>
    <w:qFormat/>
    <w:rsid w:val="001B0E8C"/>
    <w:pPr>
      <w:spacing w:line="288" w:lineRule="auto"/>
      <w:jc w:val="both"/>
    </w:pPr>
    <w:rPr>
      <w:rFonts w:ascii="Myriad Pro" w:eastAsiaTheme="minorHAnsi" w:hAnsi="Myriad Pro" w:cstheme="minorBidi"/>
      <w:szCs w:val="22"/>
      <w:lang w:eastAsia="en-US"/>
    </w:rPr>
  </w:style>
  <w:style w:type="character" w:customStyle="1" w:styleId="BesediloUMARChar">
    <w:name w:val="Besedilo_UMAR Char"/>
    <w:basedOn w:val="Privzetapisavaodstavka"/>
    <w:link w:val="BesediloUMAR"/>
    <w:rsid w:val="001B0E8C"/>
    <w:rPr>
      <w:rFonts w:ascii="Myriad Pro" w:eastAsiaTheme="minorHAnsi" w:hAnsi="Myriad Pro" w:cstheme="minorBidi"/>
      <w:szCs w:val="22"/>
      <w:lang w:eastAsia="en-US"/>
    </w:rPr>
  </w:style>
  <w:style w:type="paragraph" w:customStyle="1" w:styleId="VirUMAR">
    <w:name w:val="Vir_UMAR"/>
    <w:basedOn w:val="BesediloUMAR"/>
    <w:link w:val="VirUMARChar"/>
    <w:uiPriority w:val="6"/>
    <w:qFormat/>
    <w:rsid w:val="001B0E8C"/>
    <w:pPr>
      <w:spacing w:before="40" w:line="240" w:lineRule="auto"/>
    </w:pPr>
    <w:rPr>
      <w:sz w:val="16"/>
    </w:rPr>
  </w:style>
  <w:style w:type="character" w:customStyle="1" w:styleId="VirUMARChar">
    <w:name w:val="Vir_UMAR Char"/>
    <w:basedOn w:val="Privzetapisavaodstavka"/>
    <w:link w:val="VirUMAR"/>
    <w:uiPriority w:val="6"/>
    <w:rsid w:val="001B0E8C"/>
    <w:rPr>
      <w:rFonts w:ascii="Myriad Pro" w:eastAsiaTheme="minorHAnsi" w:hAnsi="Myriad Pro" w:cstheme="minorBidi"/>
      <w:sz w:val="16"/>
      <w:szCs w:val="22"/>
      <w:lang w:eastAsia="en-US"/>
    </w:rPr>
  </w:style>
  <w:style w:type="character" w:customStyle="1" w:styleId="NapisZnak">
    <w:name w:val="Napis Znak"/>
    <w:aliases w:val="Okvir/Slika/Tabela_UMAR Znak,DZ_Okvir_Slika_Tabela_Zemljevid Znak"/>
    <w:basedOn w:val="Privzetapisavaodstavka"/>
    <w:link w:val="Napis"/>
    <w:uiPriority w:val="4"/>
    <w:rsid w:val="001B0E8C"/>
    <w:rPr>
      <w:rFonts w:ascii="Myriad Pro" w:eastAsiaTheme="minorHAnsi" w:hAnsi="Myriad Pro" w:cstheme="minorBidi"/>
      <w:b/>
      <w:bCs/>
      <w:noProof/>
      <w:lang w:eastAsia="en-US"/>
    </w:rPr>
  </w:style>
  <w:style w:type="paragraph" w:customStyle="1" w:styleId="TabelaglavadesnoUMAR">
    <w:name w:val="Tabela glava desno_UMAR"/>
    <w:link w:val="TabelaglavadesnoUMARChar"/>
    <w:uiPriority w:val="5"/>
    <w:qFormat/>
    <w:rsid w:val="001B0E8C"/>
    <w:pPr>
      <w:spacing w:before="10" w:after="10" w:line="220" w:lineRule="atLeast"/>
      <w:jc w:val="right"/>
    </w:pPr>
    <w:rPr>
      <w:rFonts w:ascii="Myriad Pro" w:eastAsiaTheme="minorHAnsi" w:hAnsi="Myriad Pro" w:cs="Calibri"/>
      <w:b/>
      <w:bCs/>
      <w:sz w:val="18"/>
      <w:szCs w:val="18"/>
      <w:lang w:eastAsia="en-US"/>
    </w:rPr>
  </w:style>
  <w:style w:type="character" w:customStyle="1" w:styleId="TabelaglavadesnoUMARChar">
    <w:name w:val="Tabela glava desno_UMAR Char"/>
    <w:basedOn w:val="Privzetapisavaodstavka"/>
    <w:link w:val="TabelaglavadesnoUMAR"/>
    <w:uiPriority w:val="5"/>
    <w:rsid w:val="001B0E8C"/>
    <w:rPr>
      <w:rFonts w:ascii="Myriad Pro" w:eastAsiaTheme="minorHAnsi" w:hAnsi="Myriad Pro" w:cs="Calibri"/>
      <w:b/>
      <w:bCs/>
      <w:sz w:val="18"/>
      <w:szCs w:val="18"/>
      <w:lang w:eastAsia="en-US"/>
    </w:rPr>
  </w:style>
  <w:style w:type="paragraph" w:customStyle="1" w:styleId="TabelaglavalevoUMAR">
    <w:name w:val="Tabela glava levo_UMAR"/>
    <w:basedOn w:val="TabelaglavadesnoUMAR"/>
    <w:link w:val="TabelaglavalevoUMARChar"/>
    <w:uiPriority w:val="5"/>
    <w:qFormat/>
    <w:rsid w:val="001B0E8C"/>
    <w:pPr>
      <w:jc w:val="left"/>
    </w:pPr>
  </w:style>
  <w:style w:type="paragraph" w:customStyle="1" w:styleId="TabelalevoUMAR">
    <w:name w:val="Tabela levo_UMAR"/>
    <w:basedOn w:val="TabelaglavalevoUMAR"/>
    <w:link w:val="TabelalevoUMARChar"/>
    <w:uiPriority w:val="5"/>
    <w:qFormat/>
    <w:rsid w:val="001B0E8C"/>
    <w:rPr>
      <w:b w:val="0"/>
    </w:rPr>
  </w:style>
  <w:style w:type="character" w:customStyle="1" w:styleId="TabelaglavalevoUMARChar">
    <w:name w:val="Tabela glava levo_UMAR Char"/>
    <w:basedOn w:val="TabelaglavadesnoUMARChar"/>
    <w:link w:val="TabelaglavalevoUMAR"/>
    <w:uiPriority w:val="5"/>
    <w:rsid w:val="001B0E8C"/>
    <w:rPr>
      <w:rFonts w:ascii="Myriad Pro" w:eastAsiaTheme="minorHAnsi" w:hAnsi="Myriad Pro" w:cs="Calibri"/>
      <w:b/>
      <w:bCs/>
      <w:sz w:val="18"/>
      <w:szCs w:val="18"/>
      <w:lang w:eastAsia="en-US"/>
    </w:rPr>
  </w:style>
  <w:style w:type="paragraph" w:customStyle="1" w:styleId="TabeladesnoUMAR">
    <w:name w:val="Tabela desno_UMAR"/>
    <w:basedOn w:val="TabelaglavadesnoUMAR"/>
    <w:link w:val="TabeladesnoUMARChar"/>
    <w:uiPriority w:val="5"/>
    <w:qFormat/>
    <w:rsid w:val="001B0E8C"/>
    <w:rPr>
      <w:b w:val="0"/>
    </w:rPr>
  </w:style>
  <w:style w:type="character" w:customStyle="1" w:styleId="TabelalevoUMARChar">
    <w:name w:val="Tabela levo_UMAR Char"/>
    <w:basedOn w:val="TabelaglavalevoUMARChar"/>
    <w:link w:val="TabelalevoUMAR"/>
    <w:uiPriority w:val="5"/>
    <w:rsid w:val="001B0E8C"/>
    <w:rPr>
      <w:rFonts w:ascii="Myriad Pro" w:eastAsiaTheme="minorHAnsi" w:hAnsi="Myriad Pro" w:cs="Calibri"/>
      <w:b w:val="0"/>
      <w:bCs/>
      <w:sz w:val="18"/>
      <w:szCs w:val="18"/>
      <w:lang w:eastAsia="en-US"/>
    </w:rPr>
  </w:style>
  <w:style w:type="character" w:customStyle="1" w:styleId="TabeladesnoUMARChar">
    <w:name w:val="Tabela desno_UMAR Char"/>
    <w:basedOn w:val="TabelaglavadesnoUMARChar"/>
    <w:link w:val="TabeladesnoUMAR"/>
    <w:uiPriority w:val="5"/>
    <w:rsid w:val="001B0E8C"/>
    <w:rPr>
      <w:rFonts w:ascii="Myriad Pro" w:eastAsiaTheme="minorHAnsi" w:hAnsi="Myriad Pro" w:cs="Calibri"/>
      <w:b w:val="0"/>
      <w:bCs/>
      <w:sz w:val="18"/>
      <w:szCs w:val="18"/>
      <w:lang w:eastAsia="en-US"/>
    </w:rPr>
  </w:style>
  <w:style w:type="character" w:customStyle="1" w:styleId="BoldpoudarekUMAR">
    <w:name w:val="Bold poudarek_UMAR"/>
    <w:basedOn w:val="BesediloUMARChar"/>
    <w:qFormat/>
    <w:rsid w:val="001B0E8C"/>
    <w:rPr>
      <w:rFonts w:ascii="Myriad Pro" w:eastAsiaTheme="minorHAnsi" w:hAnsi="Myriad Pro" w:cstheme="minorBidi"/>
      <w:b/>
      <w:szCs w:val="22"/>
      <w:lang w:eastAsia="en-US"/>
    </w:rPr>
  </w:style>
  <w:style w:type="paragraph" w:customStyle="1" w:styleId="NaslovnicanaslovUMAR">
    <w:name w:val="Naslovnica_naslov_UMAR"/>
    <w:basedOn w:val="Naslov2"/>
    <w:link w:val="NaslovnicanaslovUMARChar"/>
    <w:uiPriority w:val="99"/>
    <w:qFormat/>
    <w:rsid w:val="001B0E8C"/>
  </w:style>
  <w:style w:type="character" w:customStyle="1" w:styleId="NaslovnicanaslovUMARChar">
    <w:name w:val="Naslovnica_naslov_UMAR Char"/>
    <w:basedOn w:val="Privzetapisavaodstavka"/>
    <w:link w:val="NaslovnicanaslovUMAR"/>
    <w:uiPriority w:val="99"/>
    <w:rsid w:val="001B0E8C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table" w:styleId="Tabelasvetlamrea">
    <w:name w:val="Grid Table Light"/>
    <w:aliases w:val="UMAR tabela"/>
    <w:basedOn w:val="Navadnatabela"/>
    <w:uiPriority w:val="40"/>
    <w:rsid w:val="001B0E8C"/>
    <w:rPr>
      <w:rFonts w:ascii="Myriad Pro" w:hAnsi="Myriad Pro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right"/>
      </w:pPr>
      <w:rPr>
        <w:b w:val="0"/>
      </w:rPr>
      <w:tblPr/>
      <w:tcPr>
        <w:shd w:val="clear" w:color="auto" w:fill="DBDBDB" w:themeFill="background2"/>
      </w:tcPr>
    </w:tblStylePr>
    <w:tblStylePr w:type="firstCol">
      <w:pPr>
        <w:jc w:val="left"/>
      </w:pPr>
    </w:tblStylePr>
    <w:tblStylePr w:type="lastCol">
      <w:pPr>
        <w:jc w:val="right"/>
      </w:p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Navadnatabela1">
    <w:name w:val="Plain Table 1"/>
    <w:basedOn w:val="Navadnatabela"/>
    <w:uiPriority w:val="41"/>
    <w:rsid w:val="001B0E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B0E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B0E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B0E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B0E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1B0E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ija">
    <w:name w:val="Revision"/>
    <w:hidden/>
    <w:uiPriority w:val="99"/>
    <w:semiHidden/>
    <w:rsid w:val="001B0E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B0E8C"/>
    <w:pPr>
      <w:spacing w:line="240" w:lineRule="auto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B0E8C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1B0E8C"/>
    <w:rPr>
      <w:rFonts w:asciiTheme="minorHAnsi" w:eastAsiaTheme="minorHAnsi" w:hAnsiTheme="minorHAnsi" w:cstheme="minorBidi"/>
      <w:b/>
      <w:bCs/>
      <w:sz w:val="22"/>
      <w:lang w:eastAsia="en-US"/>
    </w:rPr>
  </w:style>
  <w:style w:type="table" w:customStyle="1" w:styleId="UMARokvir">
    <w:name w:val="UMAR okvir"/>
    <w:basedOn w:val="Navadnatabela"/>
    <w:uiPriority w:val="99"/>
    <w:rsid w:val="001B0E8C"/>
    <w:rPr>
      <w:rFonts w:ascii="Myriad Pro" w:hAnsi="Myriad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27" w:type="dxa"/>
        <w:right w:w="227" w:type="dxa"/>
      </w:tblCellMar>
    </w:tblPr>
    <w:tcPr>
      <w:shd w:val="clear" w:color="auto" w:fill="DBDBDB" w:themeFill="background2"/>
    </w:tcPr>
  </w:style>
  <w:style w:type="table" w:customStyle="1" w:styleId="UMARenaba">
    <w:name w:val="UMAR enačba"/>
    <w:basedOn w:val="Navadnatabela"/>
    <w:uiPriority w:val="99"/>
    <w:rsid w:val="001B0E8C"/>
    <w:pPr>
      <w:jc w:val="center"/>
    </w:pPr>
    <w:rPr>
      <w:rFonts w:ascii="Myriad Pro" w:hAnsi="Myriad Pro"/>
    </w:rPr>
    <w:tblPr/>
    <w:tcPr>
      <w:vAlign w:val="center"/>
    </w:tcPr>
    <w:tblStylePr w:type="lastCol">
      <w:pPr>
        <w:jc w:val="right"/>
      </w:p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1B0E8C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bCs w:val="0"/>
      <w:color w:val="760013" w:themeColor="accent1" w:themeShade="BF"/>
      <w:kern w:val="0"/>
      <w:sz w:val="32"/>
      <w:szCs w:val="32"/>
      <w:lang w:val="en-US"/>
    </w:rPr>
  </w:style>
  <w:style w:type="paragraph" w:styleId="Odstavekseznama">
    <w:name w:val="List Paragraph"/>
    <w:basedOn w:val="Navaden"/>
    <w:uiPriority w:val="34"/>
    <w:rsid w:val="001B0E8C"/>
    <w:pPr>
      <w:ind w:left="720"/>
      <w:contextualSpacing/>
    </w:pPr>
    <w:rPr>
      <w:rFonts w:ascii="Myriad Pro" w:hAnsi="Myriad Pro"/>
    </w:rPr>
  </w:style>
  <w:style w:type="paragraph" w:customStyle="1" w:styleId="LiteraturaUMAR">
    <w:name w:val="Literatura_UMAR"/>
    <w:basedOn w:val="BesediloUMAR"/>
    <w:link w:val="LiteraturaUMARChar"/>
    <w:uiPriority w:val="7"/>
    <w:qFormat/>
    <w:rsid w:val="001B0E8C"/>
    <w:pPr>
      <w:spacing w:before="80"/>
      <w:ind w:left="340" w:hanging="340"/>
      <w:jc w:val="left"/>
    </w:pPr>
  </w:style>
  <w:style w:type="character" w:customStyle="1" w:styleId="LiteraturaUMARChar">
    <w:name w:val="Literatura_UMAR Char"/>
    <w:basedOn w:val="BesediloUMARChar"/>
    <w:link w:val="LiteraturaUMAR"/>
    <w:uiPriority w:val="7"/>
    <w:rsid w:val="001B0E8C"/>
    <w:rPr>
      <w:rFonts w:ascii="Myriad Pro" w:eastAsiaTheme="minorHAnsi" w:hAnsi="Myriad Pro" w:cstheme="minorBidi"/>
      <w:szCs w:val="22"/>
      <w:lang w:eastAsia="en-US"/>
    </w:rPr>
  </w:style>
  <w:style w:type="paragraph" w:customStyle="1" w:styleId="DZBesedilo">
    <w:name w:val="DZ_Besedilo"/>
    <w:link w:val="DZBesediloChar"/>
    <w:qFormat/>
    <w:rsid w:val="005732E6"/>
    <w:pPr>
      <w:spacing w:line="288" w:lineRule="auto"/>
      <w:jc w:val="both"/>
    </w:pPr>
    <w:rPr>
      <w:rFonts w:ascii="Myriad Pro" w:eastAsiaTheme="minorHAnsi" w:hAnsi="Myriad Pro" w:cstheme="minorBidi"/>
      <w:szCs w:val="22"/>
      <w:lang w:eastAsia="en-US"/>
    </w:rPr>
  </w:style>
  <w:style w:type="character" w:customStyle="1" w:styleId="DZBesediloChar">
    <w:name w:val="DZ_Besedilo Char"/>
    <w:basedOn w:val="Privzetapisavaodstavka"/>
    <w:link w:val="DZBesedilo"/>
    <w:rsid w:val="005732E6"/>
    <w:rPr>
      <w:rFonts w:ascii="Myriad Pro" w:eastAsiaTheme="minorHAnsi" w:hAnsi="Myriad Pro" w:cstheme="minorBidi"/>
      <w:szCs w:val="22"/>
      <w:lang w:eastAsia="en-US"/>
    </w:rPr>
  </w:style>
  <w:style w:type="paragraph" w:customStyle="1" w:styleId="DZVir">
    <w:name w:val="DZ_Vir"/>
    <w:basedOn w:val="DZBesedilo"/>
    <w:link w:val="DZVirChar"/>
    <w:qFormat/>
    <w:rsid w:val="00355D96"/>
    <w:pPr>
      <w:spacing w:before="40" w:line="240" w:lineRule="auto"/>
    </w:pPr>
    <w:rPr>
      <w:sz w:val="16"/>
    </w:rPr>
  </w:style>
  <w:style w:type="character" w:customStyle="1" w:styleId="DZVirChar">
    <w:name w:val="DZ_Vir Char"/>
    <w:basedOn w:val="Privzetapisavaodstavka"/>
    <w:link w:val="DZVir"/>
    <w:rsid w:val="00355D96"/>
    <w:rPr>
      <w:rFonts w:ascii="Myriad Pro" w:eastAsiaTheme="minorHAnsi" w:hAnsi="Myriad Pro" w:cstheme="minorBidi"/>
      <w:sz w:val="16"/>
      <w:szCs w:val="22"/>
      <w:lang w:eastAsia="en-US"/>
    </w:rPr>
  </w:style>
  <w:style w:type="character" w:customStyle="1" w:styleId="markedcontent">
    <w:name w:val="markedcontent"/>
    <w:basedOn w:val="Privzetapisavaodstavka"/>
    <w:rsid w:val="0048776B"/>
  </w:style>
  <w:style w:type="paragraph" w:styleId="Bibliografija">
    <w:name w:val="Bibliography"/>
    <w:basedOn w:val="Navaden"/>
    <w:next w:val="Navaden"/>
    <w:uiPriority w:val="37"/>
    <w:unhideWhenUsed/>
    <w:rsid w:val="007309C9"/>
    <w:pPr>
      <w:spacing w:after="0" w:line="480" w:lineRule="auto"/>
      <w:ind w:left="720" w:hanging="720"/>
    </w:pPr>
  </w:style>
  <w:style w:type="paragraph" w:customStyle="1" w:styleId="DZVodilnistavek">
    <w:name w:val="DZ_Vodilni stavek"/>
    <w:basedOn w:val="DZBesedilo"/>
    <w:link w:val="DZVodilnistavekChar"/>
    <w:qFormat/>
    <w:rsid w:val="007E123C"/>
    <w:rPr>
      <w:b/>
    </w:rPr>
  </w:style>
  <w:style w:type="character" w:customStyle="1" w:styleId="DZVodilnistavekChar">
    <w:name w:val="DZ_Vodilni stavek Char"/>
    <w:basedOn w:val="Privzetapisavaodstavka"/>
    <w:link w:val="DZVodilnistavek"/>
    <w:rsid w:val="007E123C"/>
    <w:rPr>
      <w:rFonts w:ascii="Myriad Pro" w:eastAsiaTheme="minorHAnsi" w:hAnsi="Myriad Pro" w:cstheme="minorBidi"/>
      <w:b/>
      <w:szCs w:val="22"/>
      <w:lang w:eastAsia="en-US"/>
    </w:rPr>
  </w:style>
  <w:style w:type="paragraph" w:customStyle="1" w:styleId="DZSprotnaopomba">
    <w:name w:val="DZ_Sprotna opomba"/>
    <w:basedOn w:val="DZBesedilo"/>
    <w:link w:val="DZSprotnaopombaChar"/>
    <w:qFormat/>
    <w:rsid w:val="007E123C"/>
    <w:rPr>
      <w:sz w:val="18"/>
      <w:szCs w:val="20"/>
    </w:rPr>
  </w:style>
  <w:style w:type="character" w:customStyle="1" w:styleId="DZSprotnaopombaChar">
    <w:name w:val="DZ_Sprotna opomba Char"/>
    <w:basedOn w:val="Privzetapisavaodstavka"/>
    <w:link w:val="DZSprotnaopomba"/>
    <w:rsid w:val="007E123C"/>
    <w:rPr>
      <w:rFonts w:ascii="Myriad Pro" w:eastAsiaTheme="minorHAnsi" w:hAnsi="Myriad Pro" w:cstheme="minorBidi"/>
      <w:sz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1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hyperlink" Target="https://www.luka-kp.si/wp-content/uploads/2024/04/01.6-Luka-Koper_letno-porocilo_2023_kazalo.pdf" TargetMode="External"/></Relationships>
</file>

<file path=word/theme/theme1.xml><?xml version="1.0" encoding="utf-8"?>
<a:theme xmlns:a="http://schemas.openxmlformats.org/drawingml/2006/main" name="UMAR tema">
  <a:themeElements>
    <a:clrScheme name="UMAR barve 2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949494"/>
      </a:accent3>
      <a:accent4>
        <a:srgbClr val="535353"/>
      </a:accent4>
      <a:accent5>
        <a:srgbClr val="3F8B94"/>
      </a:accent5>
      <a:accent6>
        <a:srgbClr val="9FCDAB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3CD0-402F-4E1E-82AF-F6B8E081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6256</Words>
  <Characters>42681</Characters>
  <Application>Microsoft Office Word</Application>
  <DocSecurity>0</DocSecurity>
  <Lines>355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48840</CharactersWithSpaces>
  <SharedDoc>false</SharedDoc>
  <HLinks>
    <vt:vector size="18" baseType="variant"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_Toc164759707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_Toc164759700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_Toc164759693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2024-06-10T08:55:00Z</dcterms:created>
  <dcterms:modified xsi:type="dcterms:W3CDTF">2024-06-12T06:36:00Z</dcterms:modified>
</cp:coreProperties>
</file>