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1B82" w14:textId="77777777" w:rsidR="0050616E" w:rsidRPr="0050616E" w:rsidRDefault="00471713" w:rsidP="004F510D">
      <w:pPr>
        <w:pStyle w:val="BesediloUMAR"/>
      </w:pPr>
      <w:bookmarkStart w:id="0" w:name="_Toc138158083"/>
      <w:bookmarkStart w:id="1" w:name="_Toc138158382"/>
      <w:r>
        <w:rPr>
          <w:noProof/>
          <w:lang w:eastAsia="sl-SI"/>
        </w:rPr>
        <w:drawing>
          <wp:anchor distT="0" distB="0" distL="114300" distR="114300" simplePos="0" relativeHeight="251661312" behindDoc="0" locked="0" layoutInCell="1" allowOverlap="1" wp14:anchorId="15314321" wp14:editId="19C28029">
            <wp:simplePos x="0" y="0"/>
            <wp:positionH relativeFrom="page">
              <wp:align>left</wp:align>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10B6B58C" wp14:editId="4C5F867D">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p w14:paraId="356A2484" w14:textId="77777777" w:rsidR="0050616E" w:rsidRPr="0050616E" w:rsidRDefault="003B0C93"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07B73FF5" wp14:editId="15A3B6B4">
                <wp:simplePos x="0" y="0"/>
                <wp:positionH relativeFrom="column">
                  <wp:posOffset>2694305</wp:posOffset>
                </wp:positionH>
                <wp:positionV relativeFrom="paragraph">
                  <wp:posOffset>922655</wp:posOffset>
                </wp:positionV>
                <wp:extent cx="368046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460" cy="8066405"/>
                        </a:xfrm>
                        <a:prstGeom prst="rect">
                          <a:avLst/>
                        </a:prstGeom>
                        <a:noFill/>
                        <a:ln w="6350">
                          <a:noFill/>
                        </a:ln>
                        <a:effectLst/>
                      </wps:spPr>
                      <wps:txbx>
                        <w:txbxContent>
                          <w:p w14:paraId="435DCD2D" w14:textId="77777777" w:rsidR="00CF1678" w:rsidRPr="0050616E" w:rsidRDefault="00CF1678" w:rsidP="00B56142">
                            <w:pPr>
                              <w:pStyle w:val="BesediloUMAR"/>
                            </w:pPr>
                          </w:p>
                          <w:p w14:paraId="00950E7E" w14:textId="77777777" w:rsidR="00CF1678" w:rsidRPr="0050616E" w:rsidRDefault="00CF1678" w:rsidP="00482D2B">
                            <w:pPr>
                              <w:pStyle w:val="BesediloUMAR"/>
                            </w:pPr>
                          </w:p>
                          <w:p w14:paraId="7159B4C3" w14:textId="77777777" w:rsidR="00CF1678" w:rsidRPr="0050616E" w:rsidRDefault="00CF1678" w:rsidP="0050616E">
                            <w:pPr>
                              <w:pStyle w:val="NaslovnicanaslovUMAR"/>
                              <w:numPr>
                                <w:ilvl w:val="0"/>
                                <w:numId w:val="0"/>
                              </w:numPr>
                              <w:spacing w:line="240" w:lineRule="auto"/>
                              <w:rPr>
                                <w:color w:val="auto"/>
                                <w:sz w:val="26"/>
                                <w:szCs w:val="26"/>
                              </w:rPr>
                            </w:pPr>
                            <w:bookmarkStart w:id="2" w:name="_Toc138158084"/>
                            <w:r w:rsidRPr="0050616E">
                              <w:rPr>
                                <w:color w:val="auto"/>
                                <w:sz w:val="26"/>
                                <w:szCs w:val="26"/>
                              </w:rPr>
                              <w:t>Kratke analize</w:t>
                            </w:r>
                            <w:bookmarkEnd w:id="2"/>
                          </w:p>
                          <w:p w14:paraId="19789780" w14:textId="77777777" w:rsidR="00CF1678" w:rsidRPr="0050616E" w:rsidRDefault="00CF1678" w:rsidP="0050616E">
                            <w:pPr>
                              <w:pStyle w:val="NaslovnicanaslovUMAR"/>
                              <w:numPr>
                                <w:ilvl w:val="0"/>
                                <w:numId w:val="0"/>
                              </w:numPr>
                              <w:spacing w:line="240" w:lineRule="auto"/>
                              <w:rPr>
                                <w:b w:val="0"/>
                                <w:bCs/>
                                <w:color w:val="auto"/>
                                <w:sz w:val="26"/>
                                <w:szCs w:val="26"/>
                              </w:rPr>
                            </w:pPr>
                            <w:bookmarkStart w:id="3" w:name="_Toc138158085"/>
                            <w:r w:rsidRPr="00705FED">
                              <w:rPr>
                                <w:b w:val="0"/>
                                <w:bCs/>
                                <w:color w:val="auto"/>
                                <w:sz w:val="26"/>
                                <w:szCs w:val="26"/>
                              </w:rPr>
                              <w:t>September</w:t>
                            </w:r>
                            <w:r>
                              <w:rPr>
                                <w:b w:val="0"/>
                                <w:bCs/>
                                <w:color w:val="auto"/>
                                <w:sz w:val="26"/>
                                <w:szCs w:val="26"/>
                              </w:rPr>
                              <w:t xml:space="preserve"> 2023</w:t>
                            </w:r>
                            <w:bookmarkEnd w:id="3"/>
                          </w:p>
                          <w:p w14:paraId="4258D5DA" w14:textId="77777777" w:rsidR="00CF1678" w:rsidRPr="00482D2B" w:rsidRDefault="00CF1678" w:rsidP="00482D2B">
                            <w:pPr>
                              <w:pStyle w:val="BesediloUMAR"/>
                              <w:rPr>
                                <w:sz w:val="52"/>
                                <w:szCs w:val="52"/>
                              </w:rPr>
                            </w:pPr>
                          </w:p>
                          <w:p w14:paraId="6510E98E" w14:textId="77777777" w:rsidR="00CF1678" w:rsidRPr="00104828" w:rsidRDefault="00CF1678" w:rsidP="0050616E">
                            <w:pPr>
                              <w:pStyle w:val="NaslovnicanaslovUMAR"/>
                              <w:numPr>
                                <w:ilvl w:val="0"/>
                                <w:numId w:val="0"/>
                              </w:numPr>
                              <w:spacing w:after="240" w:line="760" w:lineRule="exact"/>
                              <w:rPr>
                                <w:b w:val="0"/>
                                <w:bCs/>
                                <w:color w:val="auto"/>
                                <w:sz w:val="52"/>
                                <w:szCs w:val="52"/>
                              </w:rPr>
                            </w:pPr>
                            <w:bookmarkStart w:id="4" w:name="_Toc138158086"/>
                            <w:r w:rsidRPr="00104828">
                              <w:rPr>
                                <w:b w:val="0"/>
                                <w:bCs/>
                                <w:color w:val="auto"/>
                                <w:sz w:val="52"/>
                                <w:szCs w:val="52"/>
                              </w:rPr>
                              <w:t>Barbara Bratuž Ferk</w:t>
                            </w:r>
                            <w:bookmarkEnd w:id="4"/>
                          </w:p>
                          <w:p w14:paraId="54DCD2DD" w14:textId="271CAC6C" w:rsidR="00CF1678" w:rsidRPr="0050616E" w:rsidRDefault="00CF1678" w:rsidP="0050616E">
                            <w:pPr>
                              <w:pStyle w:val="NaslovnicanaslovUMAR"/>
                              <w:numPr>
                                <w:ilvl w:val="0"/>
                                <w:numId w:val="0"/>
                              </w:numPr>
                              <w:spacing w:line="760" w:lineRule="exact"/>
                              <w:rPr>
                                <w:color w:val="auto"/>
                                <w:sz w:val="76"/>
                                <w:szCs w:val="76"/>
                              </w:rPr>
                            </w:pPr>
                            <w:bookmarkStart w:id="5" w:name="_Toc138158087"/>
                            <w:r w:rsidRPr="00104828">
                              <w:rPr>
                                <w:color w:val="auto"/>
                                <w:sz w:val="76"/>
                                <w:szCs w:val="76"/>
                              </w:rPr>
                              <w:t>Projekcije</w:t>
                            </w:r>
                            <w:r>
                              <w:rPr>
                                <w:color w:val="auto"/>
                                <w:sz w:val="76"/>
                                <w:szCs w:val="76"/>
                              </w:rPr>
                              <w:t xml:space="preserve"> </w:t>
                            </w:r>
                            <w:r w:rsidRPr="00104828">
                              <w:rPr>
                                <w:color w:val="auto"/>
                                <w:sz w:val="76"/>
                                <w:szCs w:val="76"/>
                              </w:rPr>
                              <w:t>EUROPOP2023 in demografska slika Slovenije</w:t>
                            </w:r>
                            <w:bookmarkEnd w:id="5"/>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3FF5" id="_x0000_t202" coordsize="21600,21600" o:spt="202" path="m,l,21600r21600,l21600,xe">
                <v:stroke joinstyle="miter"/>
                <v:path gradientshapeok="t" o:connecttype="rect"/>
              </v:shapetype>
              <v:shape id="Text Box 2" o:spid="_x0000_s1026" type="#_x0000_t202" style="position:absolute;margin-left:212.15pt;margin-top:72.65pt;width:289.8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" filled="f" stroked="f" strokeweight=".5pt">
                <v:textbox style="layout-flow:vertical;mso-layout-flow-alt:bottom-to-top" inset="0,0,.5mm,0">
                  <w:txbxContent>
                    <w:p w14:paraId="435DCD2D" w14:textId="77777777" w:rsidR="00CF1678" w:rsidRPr="0050616E" w:rsidRDefault="00CF1678" w:rsidP="00B56142">
                      <w:pPr>
                        <w:pStyle w:val="BesediloUMAR"/>
                      </w:pPr>
                    </w:p>
                    <w:p w14:paraId="00950E7E" w14:textId="77777777" w:rsidR="00CF1678" w:rsidRPr="0050616E" w:rsidRDefault="00CF1678" w:rsidP="00482D2B">
                      <w:pPr>
                        <w:pStyle w:val="BesediloUMAR"/>
                      </w:pPr>
                    </w:p>
                    <w:p w14:paraId="7159B4C3" w14:textId="77777777" w:rsidR="00CF1678" w:rsidRPr="0050616E" w:rsidRDefault="00CF1678" w:rsidP="0050616E">
                      <w:pPr>
                        <w:pStyle w:val="NaslovnicanaslovUMAR"/>
                        <w:numPr>
                          <w:ilvl w:val="0"/>
                          <w:numId w:val="0"/>
                        </w:numPr>
                        <w:spacing w:line="240" w:lineRule="auto"/>
                        <w:rPr>
                          <w:color w:val="auto"/>
                          <w:sz w:val="26"/>
                          <w:szCs w:val="26"/>
                        </w:rPr>
                      </w:pPr>
                      <w:bookmarkStart w:id="6" w:name="_Toc138158084"/>
                      <w:r w:rsidRPr="0050616E">
                        <w:rPr>
                          <w:color w:val="auto"/>
                          <w:sz w:val="26"/>
                          <w:szCs w:val="26"/>
                        </w:rPr>
                        <w:t>Kratke analize</w:t>
                      </w:r>
                      <w:bookmarkEnd w:id="6"/>
                    </w:p>
                    <w:p w14:paraId="19789780" w14:textId="77777777" w:rsidR="00CF1678" w:rsidRPr="0050616E" w:rsidRDefault="00CF1678" w:rsidP="0050616E">
                      <w:pPr>
                        <w:pStyle w:val="NaslovnicanaslovUMAR"/>
                        <w:numPr>
                          <w:ilvl w:val="0"/>
                          <w:numId w:val="0"/>
                        </w:numPr>
                        <w:spacing w:line="240" w:lineRule="auto"/>
                        <w:rPr>
                          <w:b w:val="0"/>
                          <w:bCs/>
                          <w:color w:val="auto"/>
                          <w:sz w:val="26"/>
                          <w:szCs w:val="26"/>
                        </w:rPr>
                      </w:pPr>
                      <w:bookmarkStart w:id="7" w:name="_Toc138158085"/>
                      <w:r w:rsidRPr="00705FED">
                        <w:rPr>
                          <w:b w:val="0"/>
                          <w:bCs/>
                          <w:color w:val="auto"/>
                          <w:sz w:val="26"/>
                          <w:szCs w:val="26"/>
                        </w:rPr>
                        <w:t>September</w:t>
                      </w:r>
                      <w:r>
                        <w:rPr>
                          <w:b w:val="0"/>
                          <w:bCs/>
                          <w:color w:val="auto"/>
                          <w:sz w:val="26"/>
                          <w:szCs w:val="26"/>
                        </w:rPr>
                        <w:t xml:space="preserve"> 2023</w:t>
                      </w:r>
                      <w:bookmarkEnd w:id="7"/>
                    </w:p>
                    <w:p w14:paraId="4258D5DA" w14:textId="77777777" w:rsidR="00CF1678" w:rsidRPr="00482D2B" w:rsidRDefault="00CF1678" w:rsidP="00482D2B">
                      <w:pPr>
                        <w:pStyle w:val="BesediloUMAR"/>
                        <w:rPr>
                          <w:sz w:val="52"/>
                          <w:szCs w:val="52"/>
                        </w:rPr>
                      </w:pPr>
                    </w:p>
                    <w:p w14:paraId="6510E98E" w14:textId="77777777" w:rsidR="00CF1678" w:rsidRPr="00104828" w:rsidRDefault="00CF1678" w:rsidP="0050616E">
                      <w:pPr>
                        <w:pStyle w:val="NaslovnicanaslovUMAR"/>
                        <w:numPr>
                          <w:ilvl w:val="0"/>
                          <w:numId w:val="0"/>
                        </w:numPr>
                        <w:spacing w:after="240" w:line="760" w:lineRule="exact"/>
                        <w:rPr>
                          <w:b w:val="0"/>
                          <w:bCs/>
                          <w:color w:val="auto"/>
                          <w:sz w:val="52"/>
                          <w:szCs w:val="52"/>
                        </w:rPr>
                      </w:pPr>
                      <w:bookmarkStart w:id="8" w:name="_Toc138158086"/>
                      <w:r w:rsidRPr="00104828">
                        <w:rPr>
                          <w:b w:val="0"/>
                          <w:bCs/>
                          <w:color w:val="auto"/>
                          <w:sz w:val="52"/>
                          <w:szCs w:val="52"/>
                        </w:rPr>
                        <w:t>Barbara Bratuž Ferk</w:t>
                      </w:r>
                      <w:bookmarkEnd w:id="8"/>
                    </w:p>
                    <w:p w14:paraId="54DCD2DD" w14:textId="271CAC6C" w:rsidR="00CF1678" w:rsidRPr="0050616E" w:rsidRDefault="00CF1678" w:rsidP="0050616E">
                      <w:pPr>
                        <w:pStyle w:val="NaslovnicanaslovUMAR"/>
                        <w:numPr>
                          <w:ilvl w:val="0"/>
                          <w:numId w:val="0"/>
                        </w:numPr>
                        <w:spacing w:line="760" w:lineRule="exact"/>
                        <w:rPr>
                          <w:color w:val="auto"/>
                          <w:sz w:val="76"/>
                          <w:szCs w:val="76"/>
                        </w:rPr>
                      </w:pPr>
                      <w:bookmarkStart w:id="9" w:name="_Toc138158087"/>
                      <w:r w:rsidRPr="00104828">
                        <w:rPr>
                          <w:color w:val="auto"/>
                          <w:sz w:val="76"/>
                          <w:szCs w:val="76"/>
                        </w:rPr>
                        <w:t>Projekcije</w:t>
                      </w:r>
                      <w:r>
                        <w:rPr>
                          <w:color w:val="auto"/>
                          <w:sz w:val="76"/>
                          <w:szCs w:val="76"/>
                        </w:rPr>
                        <w:t xml:space="preserve"> </w:t>
                      </w:r>
                      <w:r w:rsidRPr="00104828">
                        <w:rPr>
                          <w:color w:val="auto"/>
                          <w:sz w:val="76"/>
                          <w:szCs w:val="76"/>
                        </w:rPr>
                        <w:t>EUROPOP2023 in demografska slika Slovenije</w:t>
                      </w:r>
                      <w:bookmarkEnd w:id="9"/>
                    </w:p>
                  </w:txbxContent>
                </v:textbox>
              </v:shape>
            </w:pict>
          </mc:Fallback>
        </mc:AlternateContent>
      </w:r>
      <w:r w:rsidR="0050616E">
        <w:tab/>
      </w:r>
    </w:p>
    <w:bookmarkStart w:id="10" w:name="_Toc525304171" w:displacedByCustomXml="next"/>
    <w:bookmarkStart w:id="11" w:name="_Toc527616894" w:displacedByCustomXml="next"/>
    <w:bookmarkStart w:id="12" w:name="_Toc528328881" w:displacedByCustomXml="next"/>
    <w:sdt>
      <w:sdtPr>
        <w:rPr>
          <w:rFonts w:asciiTheme="minorHAnsi" w:hAnsiTheme="minorHAnsi" w:cstheme="minorBidi"/>
          <w:noProof w:val="0"/>
          <w:sz w:val="22"/>
          <w:szCs w:val="22"/>
        </w:rPr>
        <w:id w:val="-552768611"/>
        <w:docPartObj>
          <w:docPartGallery w:val="Table of Contents"/>
          <w:docPartUnique/>
        </w:docPartObj>
      </w:sdtPr>
      <w:sdtEndPr>
        <w:rPr>
          <w:rFonts w:ascii="Myriad Pro" w:hAnsi="Myriad Pro"/>
          <w:sz w:val="20"/>
        </w:rPr>
      </w:sdtEndPr>
      <w:sdtContent>
        <w:p w14:paraId="6C7F8E5E" w14:textId="066E5AD3" w:rsidR="0078485E" w:rsidRDefault="00DC7106" w:rsidP="0078485E">
          <w:pPr>
            <w:pStyle w:val="TOC1"/>
            <w:rPr>
              <w:rFonts w:eastAsiaTheme="majorEastAsia" w:cstheme="majorBidi"/>
              <w:b/>
              <w:noProof w:val="0"/>
              <w:color w:val="760013" w:themeColor="accent1" w:themeShade="BF"/>
              <w:sz w:val="28"/>
              <w:szCs w:val="32"/>
            </w:rPr>
          </w:pPr>
          <w:r w:rsidRPr="0078485E">
            <w:rPr>
              <w:rFonts w:eastAsiaTheme="majorEastAsia" w:cstheme="majorBidi"/>
              <w:b/>
              <w:noProof w:val="0"/>
              <w:color w:val="760013" w:themeColor="accent1" w:themeShade="BF"/>
              <w:sz w:val="28"/>
              <w:szCs w:val="32"/>
            </w:rPr>
            <w:t>Vsebina</w:t>
          </w:r>
        </w:p>
        <w:p w14:paraId="0037299F" w14:textId="77777777" w:rsidR="007A2B5B" w:rsidRDefault="00055E19">
          <w:pPr>
            <w:pStyle w:val="TOC1"/>
          </w:pPr>
          <w:r>
            <w:tab/>
          </w:r>
          <w:r w:rsidR="003314D8">
            <w:fldChar w:fldCharType="begin"/>
          </w:r>
          <w:r w:rsidR="003314D8">
            <w:instrText xml:space="preserve"> TOC \o "1-1" \h \z \t "Naslov 2;2;Naslov 3;3" </w:instrText>
          </w:r>
          <w:r w:rsidR="003314D8">
            <w:fldChar w:fldCharType="separate"/>
          </w:r>
        </w:p>
        <w:p w14:paraId="5F447A66" w14:textId="3BA71725" w:rsidR="007A2B5B" w:rsidRDefault="00EF33B0">
          <w:pPr>
            <w:pStyle w:val="TOC1"/>
            <w:rPr>
              <w:rFonts w:asciiTheme="minorHAnsi" w:eastAsiaTheme="minorEastAsia" w:hAnsiTheme="minorHAnsi" w:cstheme="minorBidi"/>
              <w:kern w:val="2"/>
              <w:sz w:val="22"/>
              <w:szCs w:val="22"/>
              <w:lang w:eastAsia="sl-SI"/>
              <w14:ligatures w14:val="standardContextual"/>
            </w:rPr>
          </w:pPr>
          <w:r>
            <w:tab/>
          </w:r>
          <w:hyperlink w:anchor="_Toc146283008" w:history="1">
            <w:r w:rsidR="007A2B5B" w:rsidRPr="00736CAB">
              <w:rPr>
                <w:rStyle w:val="Hyperlink"/>
              </w:rPr>
              <w:t>Povzetek</w:t>
            </w:r>
            <w:r w:rsidR="007A2B5B">
              <w:rPr>
                <w:webHidden/>
              </w:rPr>
              <w:tab/>
            </w:r>
            <w:r w:rsidR="007A2B5B">
              <w:rPr>
                <w:webHidden/>
              </w:rPr>
              <w:fldChar w:fldCharType="begin"/>
            </w:r>
            <w:r w:rsidR="007A2B5B">
              <w:rPr>
                <w:webHidden/>
              </w:rPr>
              <w:instrText xml:space="preserve"> PAGEREF _Toc146283008 \h </w:instrText>
            </w:r>
            <w:r w:rsidR="007A2B5B">
              <w:rPr>
                <w:webHidden/>
              </w:rPr>
            </w:r>
            <w:r w:rsidR="007A2B5B">
              <w:rPr>
                <w:webHidden/>
              </w:rPr>
              <w:fldChar w:fldCharType="separate"/>
            </w:r>
            <w:r>
              <w:rPr>
                <w:webHidden/>
              </w:rPr>
              <w:t>4</w:t>
            </w:r>
            <w:r w:rsidR="007A2B5B">
              <w:rPr>
                <w:webHidden/>
              </w:rPr>
              <w:fldChar w:fldCharType="end"/>
            </w:r>
          </w:hyperlink>
        </w:p>
        <w:p w14:paraId="61187964" w14:textId="0AE71D19" w:rsidR="007A2B5B" w:rsidRDefault="002B2E8C">
          <w:pPr>
            <w:pStyle w:val="TOC1"/>
            <w:rPr>
              <w:rFonts w:asciiTheme="minorHAnsi" w:eastAsiaTheme="minorEastAsia" w:hAnsiTheme="minorHAnsi" w:cstheme="minorBidi"/>
              <w:kern w:val="2"/>
              <w:sz w:val="22"/>
              <w:szCs w:val="22"/>
              <w:lang w:eastAsia="sl-SI"/>
              <w14:ligatures w14:val="standardContextual"/>
            </w:rPr>
          </w:pPr>
          <w:hyperlink w:anchor="_Toc146283009" w:history="1">
            <w:r w:rsidR="007A2B5B" w:rsidRPr="00736CAB">
              <w:rPr>
                <w:rStyle w:val="Hyperlink"/>
              </w:rPr>
              <w:t>1</w:t>
            </w:r>
            <w:r w:rsidR="007A2B5B">
              <w:rPr>
                <w:rFonts w:asciiTheme="minorHAnsi" w:eastAsiaTheme="minorEastAsia" w:hAnsiTheme="minorHAnsi" w:cstheme="minorBidi"/>
                <w:kern w:val="2"/>
                <w:sz w:val="22"/>
                <w:szCs w:val="22"/>
                <w:lang w:eastAsia="sl-SI"/>
                <w14:ligatures w14:val="standardContextual"/>
              </w:rPr>
              <w:tab/>
            </w:r>
            <w:r w:rsidR="007A2B5B" w:rsidRPr="00736CAB">
              <w:rPr>
                <w:rStyle w:val="Hyperlink"/>
              </w:rPr>
              <w:t>Uvod</w:t>
            </w:r>
            <w:r w:rsidR="007A2B5B">
              <w:rPr>
                <w:webHidden/>
              </w:rPr>
              <w:tab/>
            </w:r>
            <w:r w:rsidR="007A2B5B">
              <w:rPr>
                <w:webHidden/>
              </w:rPr>
              <w:fldChar w:fldCharType="begin"/>
            </w:r>
            <w:r w:rsidR="007A2B5B">
              <w:rPr>
                <w:webHidden/>
              </w:rPr>
              <w:instrText xml:space="preserve"> PAGEREF _Toc146283009 \h </w:instrText>
            </w:r>
            <w:r w:rsidR="007A2B5B">
              <w:rPr>
                <w:webHidden/>
              </w:rPr>
            </w:r>
            <w:r w:rsidR="007A2B5B">
              <w:rPr>
                <w:webHidden/>
              </w:rPr>
              <w:fldChar w:fldCharType="separate"/>
            </w:r>
            <w:r w:rsidR="00EF33B0">
              <w:rPr>
                <w:webHidden/>
              </w:rPr>
              <w:t>5</w:t>
            </w:r>
            <w:r w:rsidR="007A2B5B">
              <w:rPr>
                <w:webHidden/>
              </w:rPr>
              <w:fldChar w:fldCharType="end"/>
            </w:r>
          </w:hyperlink>
        </w:p>
        <w:p w14:paraId="02F5CD7E" w14:textId="1611B48E" w:rsidR="007A2B5B" w:rsidRDefault="002B2E8C">
          <w:pPr>
            <w:pStyle w:val="TOC1"/>
            <w:rPr>
              <w:rFonts w:asciiTheme="minorHAnsi" w:eastAsiaTheme="minorEastAsia" w:hAnsiTheme="minorHAnsi" w:cstheme="minorBidi"/>
              <w:kern w:val="2"/>
              <w:sz w:val="22"/>
              <w:szCs w:val="22"/>
              <w:lang w:eastAsia="sl-SI"/>
              <w14:ligatures w14:val="standardContextual"/>
            </w:rPr>
          </w:pPr>
          <w:hyperlink w:anchor="_Toc146283010" w:history="1">
            <w:r w:rsidR="007A2B5B" w:rsidRPr="00736CAB">
              <w:rPr>
                <w:rStyle w:val="Hyperlink"/>
              </w:rPr>
              <w:t>2</w:t>
            </w:r>
            <w:r w:rsidR="007A2B5B">
              <w:rPr>
                <w:rFonts w:asciiTheme="minorHAnsi" w:eastAsiaTheme="minorEastAsia" w:hAnsiTheme="minorHAnsi" w:cstheme="minorBidi"/>
                <w:kern w:val="2"/>
                <w:sz w:val="22"/>
                <w:szCs w:val="22"/>
                <w:lang w:eastAsia="sl-SI"/>
                <w14:ligatures w14:val="standardContextual"/>
              </w:rPr>
              <w:tab/>
            </w:r>
            <w:r w:rsidR="007A2B5B" w:rsidRPr="00736CAB">
              <w:rPr>
                <w:rStyle w:val="Hyperlink"/>
              </w:rPr>
              <w:t>Demografska gibanja v Sloveniji in gibanje prebivalcev po projekciji EUROPOP2023</w:t>
            </w:r>
            <w:r w:rsidR="007A2B5B">
              <w:rPr>
                <w:webHidden/>
              </w:rPr>
              <w:tab/>
            </w:r>
            <w:r w:rsidR="007A2B5B">
              <w:rPr>
                <w:webHidden/>
              </w:rPr>
              <w:fldChar w:fldCharType="begin"/>
            </w:r>
            <w:r w:rsidR="007A2B5B">
              <w:rPr>
                <w:webHidden/>
              </w:rPr>
              <w:instrText xml:space="preserve"> PAGEREF _Toc146283010 \h </w:instrText>
            </w:r>
            <w:r w:rsidR="007A2B5B">
              <w:rPr>
                <w:webHidden/>
              </w:rPr>
            </w:r>
            <w:r w:rsidR="007A2B5B">
              <w:rPr>
                <w:webHidden/>
              </w:rPr>
              <w:fldChar w:fldCharType="separate"/>
            </w:r>
            <w:r w:rsidR="00EF33B0">
              <w:rPr>
                <w:webHidden/>
              </w:rPr>
              <w:t>6</w:t>
            </w:r>
            <w:r w:rsidR="007A2B5B">
              <w:rPr>
                <w:webHidden/>
              </w:rPr>
              <w:fldChar w:fldCharType="end"/>
            </w:r>
          </w:hyperlink>
        </w:p>
        <w:p w14:paraId="2AD91E49" w14:textId="36EBAA57" w:rsidR="007A2B5B" w:rsidRDefault="002B2E8C">
          <w:pPr>
            <w:pStyle w:val="TOC2"/>
            <w:rPr>
              <w:rFonts w:asciiTheme="minorHAnsi" w:eastAsiaTheme="minorEastAsia" w:hAnsiTheme="minorHAnsi"/>
              <w:kern w:val="2"/>
              <w:sz w:val="22"/>
              <w:lang w:eastAsia="sl-SI"/>
              <w14:ligatures w14:val="standardContextual"/>
            </w:rPr>
          </w:pPr>
          <w:hyperlink w:anchor="_Toc146283011" w:history="1">
            <w:r w:rsidR="007A2B5B" w:rsidRPr="00736CAB">
              <w:rPr>
                <w:rStyle w:val="Hyperlink"/>
              </w:rPr>
              <w:t>2.1 Število in struktura prebivalcev Slovenije</w:t>
            </w:r>
            <w:r w:rsidR="007A2B5B">
              <w:rPr>
                <w:webHidden/>
              </w:rPr>
              <w:tab/>
            </w:r>
            <w:r w:rsidR="007A2B5B">
              <w:rPr>
                <w:webHidden/>
              </w:rPr>
              <w:fldChar w:fldCharType="begin"/>
            </w:r>
            <w:r w:rsidR="007A2B5B">
              <w:rPr>
                <w:webHidden/>
              </w:rPr>
              <w:instrText xml:space="preserve"> PAGEREF _Toc146283011 \h </w:instrText>
            </w:r>
            <w:r w:rsidR="007A2B5B">
              <w:rPr>
                <w:webHidden/>
              </w:rPr>
            </w:r>
            <w:r w:rsidR="007A2B5B">
              <w:rPr>
                <w:webHidden/>
              </w:rPr>
              <w:fldChar w:fldCharType="separate"/>
            </w:r>
            <w:r w:rsidR="00EF33B0">
              <w:rPr>
                <w:webHidden/>
              </w:rPr>
              <w:t>6</w:t>
            </w:r>
            <w:r w:rsidR="007A2B5B">
              <w:rPr>
                <w:webHidden/>
              </w:rPr>
              <w:fldChar w:fldCharType="end"/>
            </w:r>
          </w:hyperlink>
        </w:p>
        <w:p w14:paraId="666BA33F" w14:textId="6D7999DE" w:rsidR="007A2B5B" w:rsidRDefault="002B2E8C">
          <w:pPr>
            <w:pStyle w:val="TOC1"/>
            <w:rPr>
              <w:rFonts w:asciiTheme="minorHAnsi" w:eastAsiaTheme="minorEastAsia" w:hAnsiTheme="minorHAnsi" w:cstheme="minorBidi"/>
              <w:kern w:val="2"/>
              <w:sz w:val="22"/>
              <w:szCs w:val="22"/>
              <w:lang w:eastAsia="sl-SI"/>
              <w14:ligatures w14:val="standardContextual"/>
            </w:rPr>
          </w:pPr>
          <w:hyperlink w:anchor="_Toc146283012" w:history="1">
            <w:r w:rsidR="007A2B5B" w:rsidRPr="00736CAB">
              <w:rPr>
                <w:rStyle w:val="Hyperlink"/>
              </w:rPr>
              <w:t>3</w:t>
            </w:r>
            <w:r w:rsidR="007A2B5B">
              <w:rPr>
                <w:rFonts w:asciiTheme="minorHAnsi" w:eastAsiaTheme="minorEastAsia" w:hAnsiTheme="minorHAnsi" w:cstheme="minorBidi"/>
                <w:kern w:val="2"/>
                <w:sz w:val="22"/>
                <w:szCs w:val="22"/>
                <w:lang w:eastAsia="sl-SI"/>
                <w14:ligatures w14:val="standardContextual"/>
              </w:rPr>
              <w:tab/>
            </w:r>
            <w:r w:rsidR="007A2B5B" w:rsidRPr="00736CAB">
              <w:rPr>
                <w:rStyle w:val="Hyperlink"/>
              </w:rPr>
              <w:t>Predstavitev predpostavk projekcij</w:t>
            </w:r>
            <w:r w:rsidR="007A2B5B">
              <w:rPr>
                <w:webHidden/>
              </w:rPr>
              <w:tab/>
            </w:r>
            <w:r w:rsidR="007A2B5B">
              <w:rPr>
                <w:webHidden/>
              </w:rPr>
              <w:fldChar w:fldCharType="begin"/>
            </w:r>
            <w:r w:rsidR="007A2B5B">
              <w:rPr>
                <w:webHidden/>
              </w:rPr>
              <w:instrText xml:space="preserve"> PAGEREF _Toc146283012 \h </w:instrText>
            </w:r>
            <w:r w:rsidR="007A2B5B">
              <w:rPr>
                <w:webHidden/>
              </w:rPr>
            </w:r>
            <w:r w:rsidR="007A2B5B">
              <w:rPr>
                <w:webHidden/>
              </w:rPr>
              <w:fldChar w:fldCharType="separate"/>
            </w:r>
            <w:r w:rsidR="00EF33B0">
              <w:rPr>
                <w:webHidden/>
              </w:rPr>
              <w:t>12</w:t>
            </w:r>
            <w:r w:rsidR="007A2B5B">
              <w:rPr>
                <w:webHidden/>
              </w:rPr>
              <w:fldChar w:fldCharType="end"/>
            </w:r>
          </w:hyperlink>
        </w:p>
        <w:p w14:paraId="4A6298BA" w14:textId="271BE9AC" w:rsidR="007A2B5B" w:rsidRDefault="002B2E8C">
          <w:pPr>
            <w:pStyle w:val="TOC2"/>
            <w:rPr>
              <w:rFonts w:asciiTheme="minorHAnsi" w:eastAsiaTheme="minorEastAsia" w:hAnsiTheme="minorHAnsi"/>
              <w:kern w:val="2"/>
              <w:sz w:val="22"/>
              <w:lang w:eastAsia="sl-SI"/>
              <w14:ligatures w14:val="standardContextual"/>
            </w:rPr>
          </w:pPr>
          <w:hyperlink w:anchor="_Toc146283013" w:history="1">
            <w:r w:rsidR="007A2B5B" w:rsidRPr="00736CAB">
              <w:rPr>
                <w:rStyle w:val="Hyperlink"/>
              </w:rPr>
              <w:t xml:space="preserve">3.1 </w:t>
            </w:r>
            <w:r w:rsidR="00EF33B0">
              <w:rPr>
                <w:rStyle w:val="Hyperlink"/>
              </w:rPr>
              <w:t xml:space="preserve"> </w:t>
            </w:r>
            <w:r w:rsidR="007A2B5B" w:rsidRPr="00736CAB">
              <w:rPr>
                <w:rStyle w:val="Hyperlink"/>
              </w:rPr>
              <w:t>Rodnost</w:t>
            </w:r>
            <w:r w:rsidR="007A2B5B">
              <w:rPr>
                <w:webHidden/>
              </w:rPr>
              <w:tab/>
            </w:r>
            <w:r w:rsidR="007A2B5B">
              <w:rPr>
                <w:webHidden/>
              </w:rPr>
              <w:fldChar w:fldCharType="begin"/>
            </w:r>
            <w:r w:rsidR="007A2B5B">
              <w:rPr>
                <w:webHidden/>
              </w:rPr>
              <w:instrText xml:space="preserve"> PAGEREF _Toc146283013 \h </w:instrText>
            </w:r>
            <w:r w:rsidR="007A2B5B">
              <w:rPr>
                <w:webHidden/>
              </w:rPr>
            </w:r>
            <w:r w:rsidR="007A2B5B">
              <w:rPr>
                <w:webHidden/>
              </w:rPr>
              <w:fldChar w:fldCharType="separate"/>
            </w:r>
            <w:r w:rsidR="00EF33B0">
              <w:rPr>
                <w:webHidden/>
              </w:rPr>
              <w:t>12</w:t>
            </w:r>
            <w:r w:rsidR="007A2B5B">
              <w:rPr>
                <w:webHidden/>
              </w:rPr>
              <w:fldChar w:fldCharType="end"/>
            </w:r>
          </w:hyperlink>
        </w:p>
        <w:p w14:paraId="438A068A" w14:textId="74E04565" w:rsidR="007A2B5B" w:rsidRDefault="002B2E8C">
          <w:pPr>
            <w:pStyle w:val="TOC2"/>
            <w:rPr>
              <w:rFonts w:asciiTheme="minorHAnsi" w:eastAsiaTheme="minorEastAsia" w:hAnsiTheme="minorHAnsi"/>
              <w:kern w:val="2"/>
              <w:sz w:val="22"/>
              <w:lang w:eastAsia="sl-SI"/>
              <w14:ligatures w14:val="standardContextual"/>
            </w:rPr>
          </w:pPr>
          <w:hyperlink w:anchor="_Toc146283014" w:history="1">
            <w:r w:rsidR="007A2B5B" w:rsidRPr="00736CAB">
              <w:rPr>
                <w:rStyle w:val="Hyperlink"/>
              </w:rPr>
              <w:t xml:space="preserve">3.2 </w:t>
            </w:r>
            <w:r w:rsidR="00EF33B0">
              <w:rPr>
                <w:rStyle w:val="Hyperlink"/>
              </w:rPr>
              <w:t xml:space="preserve"> </w:t>
            </w:r>
            <w:r w:rsidR="007A2B5B" w:rsidRPr="00736CAB">
              <w:rPr>
                <w:rStyle w:val="Hyperlink"/>
              </w:rPr>
              <w:t>Umrljivost</w:t>
            </w:r>
            <w:r w:rsidR="007A2B5B">
              <w:rPr>
                <w:webHidden/>
              </w:rPr>
              <w:tab/>
            </w:r>
            <w:r w:rsidR="007A2B5B">
              <w:rPr>
                <w:webHidden/>
              </w:rPr>
              <w:fldChar w:fldCharType="begin"/>
            </w:r>
            <w:r w:rsidR="007A2B5B">
              <w:rPr>
                <w:webHidden/>
              </w:rPr>
              <w:instrText xml:space="preserve"> PAGEREF _Toc146283014 \h </w:instrText>
            </w:r>
            <w:r w:rsidR="007A2B5B">
              <w:rPr>
                <w:webHidden/>
              </w:rPr>
            </w:r>
            <w:r w:rsidR="007A2B5B">
              <w:rPr>
                <w:webHidden/>
              </w:rPr>
              <w:fldChar w:fldCharType="separate"/>
            </w:r>
            <w:r w:rsidR="00EF33B0">
              <w:rPr>
                <w:webHidden/>
              </w:rPr>
              <w:t>14</w:t>
            </w:r>
            <w:r w:rsidR="007A2B5B">
              <w:rPr>
                <w:webHidden/>
              </w:rPr>
              <w:fldChar w:fldCharType="end"/>
            </w:r>
          </w:hyperlink>
        </w:p>
        <w:p w14:paraId="2129B659" w14:textId="5AD332B2" w:rsidR="007A2B5B" w:rsidRDefault="002B2E8C">
          <w:pPr>
            <w:pStyle w:val="TOC2"/>
            <w:rPr>
              <w:rFonts w:asciiTheme="minorHAnsi" w:eastAsiaTheme="minorEastAsia" w:hAnsiTheme="minorHAnsi"/>
              <w:kern w:val="2"/>
              <w:sz w:val="22"/>
              <w:lang w:eastAsia="sl-SI"/>
              <w14:ligatures w14:val="standardContextual"/>
            </w:rPr>
          </w:pPr>
          <w:hyperlink w:anchor="_Toc146283015" w:history="1">
            <w:r w:rsidR="007A2B5B" w:rsidRPr="00736CAB">
              <w:rPr>
                <w:rStyle w:val="Hyperlink"/>
              </w:rPr>
              <w:t>3.3</w:t>
            </w:r>
            <w:r w:rsidR="00EF33B0">
              <w:rPr>
                <w:rStyle w:val="Hyperlink"/>
              </w:rPr>
              <w:t xml:space="preserve"> </w:t>
            </w:r>
            <w:r w:rsidR="007A2B5B" w:rsidRPr="00736CAB">
              <w:rPr>
                <w:rStyle w:val="Hyperlink"/>
              </w:rPr>
              <w:t xml:space="preserve"> Selitve</w:t>
            </w:r>
            <w:r w:rsidR="007A2B5B">
              <w:rPr>
                <w:webHidden/>
              </w:rPr>
              <w:tab/>
            </w:r>
            <w:r w:rsidR="007A2B5B">
              <w:rPr>
                <w:webHidden/>
              </w:rPr>
              <w:fldChar w:fldCharType="begin"/>
            </w:r>
            <w:r w:rsidR="007A2B5B">
              <w:rPr>
                <w:webHidden/>
              </w:rPr>
              <w:instrText xml:space="preserve"> PAGEREF _Toc146283015 \h </w:instrText>
            </w:r>
            <w:r w:rsidR="007A2B5B">
              <w:rPr>
                <w:webHidden/>
              </w:rPr>
            </w:r>
            <w:r w:rsidR="007A2B5B">
              <w:rPr>
                <w:webHidden/>
              </w:rPr>
              <w:fldChar w:fldCharType="separate"/>
            </w:r>
            <w:r w:rsidR="00EF33B0">
              <w:rPr>
                <w:webHidden/>
              </w:rPr>
              <w:t>17</w:t>
            </w:r>
            <w:r w:rsidR="007A2B5B">
              <w:rPr>
                <w:webHidden/>
              </w:rPr>
              <w:fldChar w:fldCharType="end"/>
            </w:r>
          </w:hyperlink>
        </w:p>
        <w:p w14:paraId="5845427B" w14:textId="6D4F51BB" w:rsidR="007A2B5B" w:rsidRDefault="002B2E8C">
          <w:pPr>
            <w:pStyle w:val="TOC1"/>
            <w:rPr>
              <w:rFonts w:asciiTheme="minorHAnsi" w:eastAsiaTheme="minorEastAsia" w:hAnsiTheme="minorHAnsi" w:cstheme="minorBidi"/>
              <w:kern w:val="2"/>
              <w:sz w:val="22"/>
              <w:szCs w:val="22"/>
              <w:lang w:eastAsia="sl-SI"/>
              <w14:ligatures w14:val="standardContextual"/>
            </w:rPr>
          </w:pPr>
          <w:hyperlink w:anchor="_Toc146283016" w:history="1">
            <w:r w:rsidR="007A2B5B" w:rsidRPr="00736CAB">
              <w:rPr>
                <w:rStyle w:val="Hyperlink"/>
              </w:rPr>
              <w:t>4</w:t>
            </w:r>
            <w:r w:rsidR="007A2B5B">
              <w:rPr>
                <w:rFonts w:asciiTheme="minorHAnsi" w:eastAsiaTheme="minorEastAsia" w:hAnsiTheme="minorHAnsi" w:cstheme="minorBidi"/>
                <w:kern w:val="2"/>
                <w:sz w:val="22"/>
                <w:szCs w:val="22"/>
                <w:lang w:eastAsia="sl-SI"/>
                <w14:ligatures w14:val="standardContextual"/>
              </w:rPr>
              <w:tab/>
            </w:r>
            <w:r w:rsidR="007A2B5B" w:rsidRPr="00736CAB">
              <w:rPr>
                <w:rStyle w:val="Hyperlink"/>
              </w:rPr>
              <w:t>Testi občutljivosti za projekcije EUROPOP2023</w:t>
            </w:r>
            <w:r w:rsidR="007A2B5B">
              <w:rPr>
                <w:webHidden/>
              </w:rPr>
              <w:tab/>
            </w:r>
            <w:r w:rsidR="007A2B5B">
              <w:rPr>
                <w:webHidden/>
              </w:rPr>
              <w:fldChar w:fldCharType="begin"/>
            </w:r>
            <w:r w:rsidR="007A2B5B">
              <w:rPr>
                <w:webHidden/>
              </w:rPr>
              <w:instrText xml:space="preserve"> PAGEREF _Toc146283016 \h </w:instrText>
            </w:r>
            <w:r w:rsidR="007A2B5B">
              <w:rPr>
                <w:webHidden/>
              </w:rPr>
            </w:r>
            <w:r w:rsidR="007A2B5B">
              <w:rPr>
                <w:webHidden/>
              </w:rPr>
              <w:fldChar w:fldCharType="separate"/>
            </w:r>
            <w:r w:rsidR="00EF33B0">
              <w:rPr>
                <w:webHidden/>
              </w:rPr>
              <w:t>20</w:t>
            </w:r>
            <w:r w:rsidR="007A2B5B">
              <w:rPr>
                <w:webHidden/>
              </w:rPr>
              <w:fldChar w:fldCharType="end"/>
            </w:r>
          </w:hyperlink>
        </w:p>
        <w:p w14:paraId="741453D4" w14:textId="559F3A89" w:rsidR="007A2B5B" w:rsidRDefault="002B2E8C">
          <w:pPr>
            <w:pStyle w:val="TOC1"/>
            <w:rPr>
              <w:rFonts w:asciiTheme="minorHAnsi" w:eastAsiaTheme="minorEastAsia" w:hAnsiTheme="minorHAnsi" w:cstheme="minorBidi"/>
              <w:kern w:val="2"/>
              <w:sz w:val="22"/>
              <w:szCs w:val="22"/>
              <w:lang w:eastAsia="sl-SI"/>
              <w14:ligatures w14:val="standardContextual"/>
            </w:rPr>
          </w:pPr>
          <w:hyperlink w:anchor="_Toc146283017" w:history="1">
            <w:r w:rsidR="007A2B5B" w:rsidRPr="00736CAB">
              <w:rPr>
                <w:rStyle w:val="Hyperlink"/>
              </w:rPr>
              <w:t>5</w:t>
            </w:r>
            <w:r w:rsidR="007A2B5B">
              <w:rPr>
                <w:rFonts w:asciiTheme="minorHAnsi" w:eastAsiaTheme="minorEastAsia" w:hAnsiTheme="minorHAnsi" w:cstheme="minorBidi"/>
                <w:kern w:val="2"/>
                <w:sz w:val="22"/>
                <w:szCs w:val="22"/>
                <w:lang w:eastAsia="sl-SI"/>
                <w14:ligatures w14:val="standardContextual"/>
              </w:rPr>
              <w:tab/>
            </w:r>
            <w:r w:rsidR="007A2B5B" w:rsidRPr="00736CAB">
              <w:rPr>
                <w:rStyle w:val="Hyperlink"/>
              </w:rPr>
              <w:t>Zaključek</w:t>
            </w:r>
            <w:r w:rsidR="007A2B5B">
              <w:rPr>
                <w:webHidden/>
              </w:rPr>
              <w:tab/>
            </w:r>
            <w:r w:rsidR="007A2B5B">
              <w:rPr>
                <w:webHidden/>
              </w:rPr>
              <w:fldChar w:fldCharType="begin"/>
            </w:r>
            <w:r w:rsidR="007A2B5B">
              <w:rPr>
                <w:webHidden/>
              </w:rPr>
              <w:instrText xml:space="preserve"> PAGEREF _Toc146283017 \h </w:instrText>
            </w:r>
            <w:r w:rsidR="007A2B5B">
              <w:rPr>
                <w:webHidden/>
              </w:rPr>
            </w:r>
            <w:r w:rsidR="007A2B5B">
              <w:rPr>
                <w:webHidden/>
              </w:rPr>
              <w:fldChar w:fldCharType="separate"/>
            </w:r>
            <w:r w:rsidR="00EF33B0">
              <w:rPr>
                <w:webHidden/>
              </w:rPr>
              <w:t>26</w:t>
            </w:r>
            <w:r w:rsidR="007A2B5B">
              <w:rPr>
                <w:webHidden/>
              </w:rPr>
              <w:fldChar w:fldCharType="end"/>
            </w:r>
          </w:hyperlink>
        </w:p>
        <w:p w14:paraId="4AE0E27A" w14:textId="6D763AE2" w:rsidR="007A2B5B" w:rsidRDefault="002B2E8C" w:rsidP="00C418A5">
          <w:pPr>
            <w:pStyle w:val="TOC3"/>
            <w:ind w:left="340"/>
            <w:rPr>
              <w:rFonts w:asciiTheme="minorHAnsi" w:eastAsiaTheme="minorEastAsia" w:hAnsiTheme="minorHAnsi"/>
              <w:noProof/>
              <w:kern w:val="2"/>
              <w:sz w:val="22"/>
              <w:lang w:eastAsia="sl-SI"/>
              <w14:ligatures w14:val="standardContextual"/>
            </w:rPr>
          </w:pPr>
          <w:hyperlink w:anchor="_Toc146283018" w:history="1">
            <w:r w:rsidR="007A2B5B" w:rsidRPr="00736CAB">
              <w:rPr>
                <w:rStyle w:val="Hyperlink"/>
                <w:noProof/>
              </w:rPr>
              <w:t>Terminološki slovarček</w:t>
            </w:r>
            <w:r w:rsidR="007A2B5B">
              <w:rPr>
                <w:noProof/>
                <w:webHidden/>
              </w:rPr>
              <w:tab/>
            </w:r>
            <w:r w:rsidR="007A2B5B">
              <w:rPr>
                <w:noProof/>
                <w:webHidden/>
              </w:rPr>
              <w:fldChar w:fldCharType="begin"/>
            </w:r>
            <w:r w:rsidR="007A2B5B">
              <w:rPr>
                <w:noProof/>
                <w:webHidden/>
              </w:rPr>
              <w:instrText xml:space="preserve"> PAGEREF _Toc146283018 \h </w:instrText>
            </w:r>
            <w:r w:rsidR="007A2B5B">
              <w:rPr>
                <w:noProof/>
                <w:webHidden/>
              </w:rPr>
            </w:r>
            <w:r w:rsidR="007A2B5B">
              <w:rPr>
                <w:noProof/>
                <w:webHidden/>
              </w:rPr>
              <w:fldChar w:fldCharType="separate"/>
            </w:r>
            <w:r w:rsidR="00EF33B0">
              <w:rPr>
                <w:noProof/>
                <w:webHidden/>
              </w:rPr>
              <w:t>27</w:t>
            </w:r>
            <w:r w:rsidR="007A2B5B">
              <w:rPr>
                <w:noProof/>
                <w:webHidden/>
              </w:rPr>
              <w:fldChar w:fldCharType="end"/>
            </w:r>
          </w:hyperlink>
        </w:p>
        <w:p w14:paraId="305D42E7" w14:textId="2FC77390" w:rsidR="007A2B5B" w:rsidRDefault="002B2E8C" w:rsidP="00C418A5">
          <w:pPr>
            <w:pStyle w:val="TOC3"/>
            <w:ind w:left="340"/>
            <w:rPr>
              <w:rFonts w:asciiTheme="minorHAnsi" w:eastAsiaTheme="minorEastAsia" w:hAnsiTheme="minorHAnsi"/>
              <w:noProof/>
              <w:kern w:val="2"/>
              <w:sz w:val="22"/>
              <w:lang w:eastAsia="sl-SI"/>
              <w14:ligatures w14:val="standardContextual"/>
            </w:rPr>
          </w:pPr>
          <w:hyperlink w:anchor="_Toc146283019" w:history="1">
            <w:r w:rsidR="007A2B5B" w:rsidRPr="00736CAB">
              <w:rPr>
                <w:rStyle w:val="Hyperlink"/>
                <w:noProof/>
              </w:rPr>
              <w:t>Literatura in viri</w:t>
            </w:r>
            <w:r w:rsidR="007A2B5B">
              <w:rPr>
                <w:noProof/>
                <w:webHidden/>
              </w:rPr>
              <w:tab/>
            </w:r>
            <w:r w:rsidR="007A2B5B">
              <w:rPr>
                <w:noProof/>
                <w:webHidden/>
              </w:rPr>
              <w:fldChar w:fldCharType="begin"/>
            </w:r>
            <w:r w:rsidR="007A2B5B">
              <w:rPr>
                <w:noProof/>
                <w:webHidden/>
              </w:rPr>
              <w:instrText xml:space="preserve"> PAGEREF _Toc146283019 \h </w:instrText>
            </w:r>
            <w:r w:rsidR="007A2B5B">
              <w:rPr>
                <w:noProof/>
                <w:webHidden/>
              </w:rPr>
            </w:r>
            <w:r w:rsidR="007A2B5B">
              <w:rPr>
                <w:noProof/>
                <w:webHidden/>
              </w:rPr>
              <w:fldChar w:fldCharType="separate"/>
            </w:r>
            <w:r w:rsidR="00EF33B0">
              <w:rPr>
                <w:noProof/>
                <w:webHidden/>
              </w:rPr>
              <w:t>29</w:t>
            </w:r>
            <w:r w:rsidR="007A2B5B">
              <w:rPr>
                <w:noProof/>
                <w:webHidden/>
              </w:rPr>
              <w:fldChar w:fldCharType="end"/>
            </w:r>
          </w:hyperlink>
        </w:p>
        <w:p w14:paraId="16389BC1" w14:textId="1268FC00" w:rsidR="005E72D4" w:rsidRPr="0078485E" w:rsidRDefault="003314D8" w:rsidP="003314D8">
          <w:pPr>
            <w:pStyle w:val="TOCHeading"/>
            <w:rPr>
              <w:b/>
              <w:sz w:val="28"/>
              <w:lang w:val="sl-SI"/>
            </w:rPr>
          </w:pPr>
          <w:r>
            <w:lastRenderedPageBreak/>
            <w:fldChar w:fldCharType="end"/>
          </w:r>
          <w:r w:rsidR="00104828" w:rsidRPr="0078485E">
            <w:rPr>
              <w:b/>
              <w:sz w:val="28"/>
              <w:lang w:val="sl-SI"/>
            </w:rPr>
            <w:t>Kazalo slik</w:t>
          </w:r>
          <w:r w:rsidR="00583FF9" w:rsidRPr="0078485E">
            <w:rPr>
              <w:b/>
              <w:sz w:val="28"/>
              <w:lang w:val="sl-SI"/>
            </w:rPr>
            <w:t xml:space="preserve"> in tabel</w:t>
          </w:r>
        </w:p>
        <w:p w14:paraId="14F73134" w14:textId="2686479F" w:rsidR="00DC7106" w:rsidRPr="005E72D4" w:rsidRDefault="002B2E8C" w:rsidP="0078485E">
          <w:pPr>
            <w:pStyle w:val="BesediloUMAR"/>
          </w:pPr>
        </w:p>
      </w:sdtContent>
    </w:sdt>
    <w:p w14:paraId="6E1DE7CD" w14:textId="5FB6D41F" w:rsidR="007A2B5B" w:rsidRDefault="00104828" w:rsidP="00482EC9">
      <w:pPr>
        <w:pStyle w:val="TableofFigures"/>
        <w:spacing w:afterLines="50" w:after="120"/>
        <w:jc w:val="left"/>
        <w:rPr>
          <w:rFonts w:asciiTheme="minorHAnsi" w:eastAsiaTheme="minorEastAsia" w:hAnsiTheme="minorHAnsi"/>
          <w:kern w:val="2"/>
          <w:sz w:val="22"/>
          <w:lang w:eastAsia="sl-SI"/>
          <w14:ligatures w14:val="standardContextual"/>
        </w:rPr>
      </w:pPr>
      <w:r w:rsidRPr="00705FED">
        <w:fldChar w:fldCharType="begin"/>
      </w:r>
      <w:r w:rsidRPr="00705FED">
        <w:instrText xml:space="preserve"> TOC \h \z \c "Slika" </w:instrText>
      </w:r>
      <w:r w:rsidRPr="00705FED">
        <w:fldChar w:fldCharType="separate"/>
      </w:r>
      <w:hyperlink w:anchor="_Toc146283020" w:history="1">
        <w:r w:rsidR="007A2B5B" w:rsidRPr="00CC712E">
          <w:rPr>
            <w:rStyle w:val="Hyperlink"/>
          </w:rPr>
          <w:t>Slika 1: Po osnovni projekciji naj bi se število prebivalcev leta 2026 začelo zmanjševati</w:t>
        </w:r>
        <w:r w:rsidR="007A2B5B">
          <w:rPr>
            <w:webHidden/>
          </w:rPr>
          <w:tab/>
        </w:r>
        <w:r w:rsidR="007A2B5B">
          <w:rPr>
            <w:webHidden/>
          </w:rPr>
          <w:fldChar w:fldCharType="begin"/>
        </w:r>
        <w:r w:rsidR="007A2B5B">
          <w:rPr>
            <w:webHidden/>
          </w:rPr>
          <w:instrText xml:space="preserve"> PAGEREF _Toc146283020 \h </w:instrText>
        </w:r>
        <w:r w:rsidR="007A2B5B">
          <w:rPr>
            <w:webHidden/>
          </w:rPr>
        </w:r>
        <w:r w:rsidR="007A2B5B">
          <w:rPr>
            <w:webHidden/>
          </w:rPr>
          <w:fldChar w:fldCharType="separate"/>
        </w:r>
        <w:r w:rsidR="00B3724D">
          <w:rPr>
            <w:webHidden/>
          </w:rPr>
          <w:t>6</w:t>
        </w:r>
        <w:r w:rsidR="007A2B5B">
          <w:rPr>
            <w:webHidden/>
          </w:rPr>
          <w:fldChar w:fldCharType="end"/>
        </w:r>
      </w:hyperlink>
    </w:p>
    <w:p w14:paraId="0C52A63A" w14:textId="105BB7E1"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21" w:history="1">
        <w:r w:rsidR="007A2B5B" w:rsidRPr="00CC712E">
          <w:rPr>
            <w:rStyle w:val="Hyperlink"/>
          </w:rPr>
          <w:t xml:space="preserve">Slika 2: Na rast števila prebivalcev v Sloveniji močno vpliva selitveni prirast, saj je naravni prirast zelo </w:t>
        </w:r>
        <w:r w:rsidR="00482EC9">
          <w:rPr>
            <w:rStyle w:val="Hyperlink"/>
          </w:rPr>
          <w:br/>
        </w:r>
        <w:r w:rsidR="007A2B5B" w:rsidRPr="00CC712E">
          <w:rPr>
            <w:rStyle w:val="Hyperlink"/>
          </w:rPr>
          <w:t xml:space="preserve">skromen, prvi je od leta 1991 znašal dobrih 137 tisoč oseb (čez 4 tisoč povprečno letno), drugi pa dobrih </w:t>
        </w:r>
        <w:r w:rsidR="00482EC9">
          <w:rPr>
            <w:rStyle w:val="Hyperlink"/>
          </w:rPr>
          <w:br/>
        </w:r>
        <w:r w:rsidR="007A2B5B" w:rsidRPr="00CC712E">
          <w:rPr>
            <w:rStyle w:val="Hyperlink"/>
          </w:rPr>
          <w:t>5 tisoč (v povprečju manj kot 200 letno)</w:t>
        </w:r>
        <w:r w:rsidR="007A2B5B">
          <w:rPr>
            <w:webHidden/>
          </w:rPr>
          <w:tab/>
        </w:r>
        <w:r w:rsidR="007A2B5B">
          <w:rPr>
            <w:webHidden/>
          </w:rPr>
          <w:fldChar w:fldCharType="begin"/>
        </w:r>
        <w:r w:rsidR="007A2B5B">
          <w:rPr>
            <w:webHidden/>
          </w:rPr>
          <w:instrText xml:space="preserve"> PAGEREF _Toc146283021 \h </w:instrText>
        </w:r>
        <w:r w:rsidR="007A2B5B">
          <w:rPr>
            <w:webHidden/>
          </w:rPr>
        </w:r>
        <w:r w:rsidR="007A2B5B">
          <w:rPr>
            <w:webHidden/>
          </w:rPr>
          <w:fldChar w:fldCharType="separate"/>
        </w:r>
        <w:r w:rsidR="00B3724D">
          <w:rPr>
            <w:webHidden/>
          </w:rPr>
          <w:t>7</w:t>
        </w:r>
        <w:r w:rsidR="007A2B5B">
          <w:rPr>
            <w:webHidden/>
          </w:rPr>
          <w:fldChar w:fldCharType="end"/>
        </w:r>
      </w:hyperlink>
    </w:p>
    <w:p w14:paraId="59BFB132" w14:textId="2412318E" w:rsidR="007A2B5B" w:rsidRDefault="002B2E8C" w:rsidP="00482EC9">
      <w:pPr>
        <w:pStyle w:val="TableofFigures"/>
        <w:spacing w:afterLines="50" w:after="120"/>
        <w:jc w:val="left"/>
        <w:rPr>
          <w:rFonts w:asciiTheme="minorHAnsi" w:eastAsiaTheme="minorEastAsia" w:hAnsiTheme="minorHAnsi"/>
          <w:kern w:val="2"/>
          <w:sz w:val="22"/>
          <w:szCs w:val="22"/>
          <w:lang w:eastAsia="sl-SI"/>
          <w14:ligatures w14:val="standardContextual"/>
        </w:rPr>
      </w:pPr>
      <w:hyperlink w:anchor="_Toc146283022" w:history="1">
        <w:r w:rsidR="007A2B5B" w:rsidRPr="00CC712E">
          <w:rPr>
            <w:rStyle w:val="Hyperlink"/>
          </w:rPr>
          <w:t>Slika 3: Delež tujcev med prebivalci Slovenije se povečuje</w:t>
        </w:r>
        <w:r w:rsidR="007A2B5B">
          <w:rPr>
            <w:webHidden/>
          </w:rPr>
          <w:tab/>
        </w:r>
        <w:r w:rsidR="007A2B5B">
          <w:rPr>
            <w:webHidden/>
          </w:rPr>
          <w:fldChar w:fldCharType="begin"/>
        </w:r>
        <w:r w:rsidR="007A2B5B">
          <w:rPr>
            <w:webHidden/>
          </w:rPr>
          <w:instrText xml:space="preserve"> PAGEREF _Toc146283022 \h </w:instrText>
        </w:r>
        <w:r w:rsidR="007A2B5B">
          <w:rPr>
            <w:webHidden/>
          </w:rPr>
        </w:r>
        <w:r w:rsidR="007A2B5B">
          <w:rPr>
            <w:webHidden/>
          </w:rPr>
          <w:fldChar w:fldCharType="separate"/>
        </w:r>
        <w:r w:rsidR="00B3724D">
          <w:rPr>
            <w:webHidden/>
          </w:rPr>
          <w:t>8</w:t>
        </w:r>
        <w:r w:rsidR="007A2B5B">
          <w:rPr>
            <w:webHidden/>
          </w:rPr>
          <w:fldChar w:fldCharType="end"/>
        </w:r>
      </w:hyperlink>
    </w:p>
    <w:p w14:paraId="29FDB8DC" w14:textId="36296469"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23" w:history="1">
        <w:r w:rsidR="007A2B5B" w:rsidRPr="00CC712E">
          <w:rPr>
            <w:rStyle w:val="Hyperlink"/>
          </w:rPr>
          <w:t xml:space="preserve">Slika 4: Koeficient starostne odvisnosti starejših se je po letu 2012 zelo povečal (slika levo), do leta 2100 </w:t>
        </w:r>
        <w:r w:rsidR="00482EC9">
          <w:rPr>
            <w:rStyle w:val="Hyperlink"/>
          </w:rPr>
          <w:br/>
        </w:r>
        <w:r w:rsidR="007A2B5B" w:rsidRPr="00CC712E">
          <w:rPr>
            <w:rStyle w:val="Hyperlink"/>
          </w:rPr>
          <w:t>bo skoraj 2,5-krat več starejših kot otrok (slika desno)</w:t>
        </w:r>
        <w:r w:rsidR="007A2B5B">
          <w:rPr>
            <w:webHidden/>
          </w:rPr>
          <w:tab/>
        </w:r>
        <w:r w:rsidR="007A2B5B">
          <w:rPr>
            <w:webHidden/>
          </w:rPr>
          <w:fldChar w:fldCharType="begin"/>
        </w:r>
        <w:r w:rsidR="007A2B5B">
          <w:rPr>
            <w:webHidden/>
          </w:rPr>
          <w:instrText xml:space="preserve"> PAGEREF _Toc146283023 \h </w:instrText>
        </w:r>
        <w:r w:rsidR="007A2B5B">
          <w:rPr>
            <w:webHidden/>
          </w:rPr>
        </w:r>
        <w:r w:rsidR="007A2B5B">
          <w:rPr>
            <w:webHidden/>
          </w:rPr>
          <w:fldChar w:fldCharType="separate"/>
        </w:r>
        <w:r w:rsidR="00B3724D">
          <w:rPr>
            <w:webHidden/>
          </w:rPr>
          <w:t>8</w:t>
        </w:r>
        <w:r w:rsidR="007A2B5B">
          <w:rPr>
            <w:webHidden/>
          </w:rPr>
          <w:fldChar w:fldCharType="end"/>
        </w:r>
      </w:hyperlink>
    </w:p>
    <w:p w14:paraId="05A9A6C5" w14:textId="6CFDD899"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24" w:history="1">
        <w:r w:rsidR="007A2B5B" w:rsidRPr="00CC712E">
          <w:rPr>
            <w:rStyle w:val="Hyperlink"/>
          </w:rPr>
          <w:t xml:space="preserve">Slika 5: Število delovno sposobnih prebivalcev se od leta 2012 znižuje (levo), največji padec je pričakovan </w:t>
        </w:r>
        <w:r w:rsidR="00482EC9">
          <w:rPr>
            <w:rStyle w:val="Hyperlink"/>
          </w:rPr>
          <w:br/>
        </w:r>
        <w:r w:rsidR="007A2B5B" w:rsidRPr="00CC712E">
          <w:rPr>
            <w:rStyle w:val="Hyperlink"/>
          </w:rPr>
          <w:t>v 40. letih tega stoletja (desno)</w:t>
        </w:r>
        <w:r w:rsidR="007A2B5B">
          <w:rPr>
            <w:webHidden/>
          </w:rPr>
          <w:tab/>
        </w:r>
        <w:r w:rsidR="007A2B5B">
          <w:rPr>
            <w:webHidden/>
          </w:rPr>
          <w:fldChar w:fldCharType="begin"/>
        </w:r>
        <w:r w:rsidR="007A2B5B">
          <w:rPr>
            <w:webHidden/>
          </w:rPr>
          <w:instrText xml:space="preserve"> PAGEREF _Toc146283024 \h </w:instrText>
        </w:r>
        <w:r w:rsidR="007A2B5B">
          <w:rPr>
            <w:webHidden/>
          </w:rPr>
        </w:r>
        <w:r w:rsidR="007A2B5B">
          <w:rPr>
            <w:webHidden/>
          </w:rPr>
          <w:fldChar w:fldCharType="separate"/>
        </w:r>
        <w:r w:rsidR="00B3724D">
          <w:rPr>
            <w:webHidden/>
          </w:rPr>
          <w:t>9</w:t>
        </w:r>
        <w:r w:rsidR="007A2B5B">
          <w:rPr>
            <w:webHidden/>
          </w:rPr>
          <w:fldChar w:fldCharType="end"/>
        </w:r>
      </w:hyperlink>
    </w:p>
    <w:p w14:paraId="586F74AF" w14:textId="616B5838"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25" w:history="1">
        <w:r w:rsidR="007A2B5B" w:rsidRPr="00CC712E">
          <w:rPr>
            <w:rStyle w:val="Hyperlink"/>
          </w:rPr>
          <w:t xml:space="preserve">Slika 6: Leta 2023 so v Sloveniji še generacije, ki štejejo nad 30 tisoč oseb (levo), po letu 2050 pa tako </w:t>
        </w:r>
        <w:r w:rsidR="00482EC9">
          <w:rPr>
            <w:rStyle w:val="Hyperlink"/>
          </w:rPr>
          <w:br/>
        </w:r>
        <w:r w:rsidR="007A2B5B" w:rsidRPr="00CC712E">
          <w:rPr>
            <w:rStyle w:val="Hyperlink"/>
          </w:rPr>
          <w:t>velikih generacij naj ne bi bilo več (desno)</w:t>
        </w:r>
        <w:r w:rsidR="007A2B5B">
          <w:rPr>
            <w:webHidden/>
          </w:rPr>
          <w:tab/>
        </w:r>
        <w:r w:rsidR="007A2B5B">
          <w:rPr>
            <w:webHidden/>
          </w:rPr>
          <w:fldChar w:fldCharType="begin"/>
        </w:r>
        <w:r w:rsidR="007A2B5B">
          <w:rPr>
            <w:webHidden/>
          </w:rPr>
          <w:instrText xml:space="preserve"> PAGEREF _Toc146283025 \h </w:instrText>
        </w:r>
        <w:r w:rsidR="007A2B5B">
          <w:rPr>
            <w:webHidden/>
          </w:rPr>
        </w:r>
        <w:r w:rsidR="007A2B5B">
          <w:rPr>
            <w:webHidden/>
          </w:rPr>
          <w:fldChar w:fldCharType="separate"/>
        </w:r>
        <w:r w:rsidR="00B3724D">
          <w:rPr>
            <w:webHidden/>
          </w:rPr>
          <w:t>10</w:t>
        </w:r>
        <w:r w:rsidR="007A2B5B">
          <w:rPr>
            <w:webHidden/>
          </w:rPr>
          <w:fldChar w:fldCharType="end"/>
        </w:r>
      </w:hyperlink>
    </w:p>
    <w:p w14:paraId="46DC425A" w14:textId="6E24593F"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26" w:history="1">
        <w:r w:rsidR="007A2B5B" w:rsidRPr="00CC712E">
          <w:rPr>
            <w:rStyle w:val="Hyperlink"/>
          </w:rPr>
          <w:t xml:space="preserve">Slika 7: Število starejših na 100 delovno sposobnih (zgoraj) in delež starejših (spodaj) naj bi že letos </w:t>
        </w:r>
        <w:r w:rsidR="00482EC9">
          <w:rPr>
            <w:rStyle w:val="Hyperlink"/>
          </w:rPr>
          <w:br/>
        </w:r>
        <w:r w:rsidR="007A2B5B" w:rsidRPr="00CC712E">
          <w:rPr>
            <w:rStyle w:val="Hyperlink"/>
          </w:rPr>
          <w:t>presegla in do okoli leta 2070 presegala povprečje EU</w:t>
        </w:r>
        <w:r w:rsidR="007A2B5B">
          <w:rPr>
            <w:webHidden/>
          </w:rPr>
          <w:tab/>
        </w:r>
        <w:r w:rsidR="007A2B5B">
          <w:rPr>
            <w:webHidden/>
          </w:rPr>
          <w:fldChar w:fldCharType="begin"/>
        </w:r>
        <w:r w:rsidR="007A2B5B">
          <w:rPr>
            <w:webHidden/>
          </w:rPr>
          <w:instrText xml:space="preserve"> PAGEREF _Toc146283026 \h </w:instrText>
        </w:r>
        <w:r w:rsidR="007A2B5B">
          <w:rPr>
            <w:webHidden/>
          </w:rPr>
        </w:r>
        <w:r w:rsidR="007A2B5B">
          <w:rPr>
            <w:webHidden/>
          </w:rPr>
          <w:fldChar w:fldCharType="separate"/>
        </w:r>
        <w:r w:rsidR="00B3724D">
          <w:rPr>
            <w:webHidden/>
          </w:rPr>
          <w:t>10</w:t>
        </w:r>
        <w:r w:rsidR="007A2B5B">
          <w:rPr>
            <w:webHidden/>
          </w:rPr>
          <w:fldChar w:fldCharType="end"/>
        </w:r>
      </w:hyperlink>
    </w:p>
    <w:p w14:paraId="0AEA5C4D" w14:textId="0380BE3A"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27" w:history="1">
        <w:r w:rsidR="007A2B5B" w:rsidRPr="00CC712E">
          <w:rPr>
            <w:rStyle w:val="Hyperlink"/>
          </w:rPr>
          <w:t xml:space="preserve">Slika 8: Celotna stopnja rodnosti bo po projekciji EUROPOP2023 najprej hitreje, nato počasneje </w:t>
        </w:r>
        <w:r w:rsidR="00482EC9">
          <w:rPr>
            <w:rStyle w:val="Hyperlink"/>
          </w:rPr>
          <w:br/>
        </w:r>
        <w:r w:rsidR="007A2B5B" w:rsidRPr="00CC712E">
          <w:rPr>
            <w:rStyle w:val="Hyperlink"/>
          </w:rPr>
          <w:t>naraščala, število rojenih pa se bo zmanjšalo</w:t>
        </w:r>
        <w:r w:rsidR="007A2B5B">
          <w:rPr>
            <w:webHidden/>
          </w:rPr>
          <w:tab/>
        </w:r>
        <w:r w:rsidR="007A2B5B">
          <w:rPr>
            <w:webHidden/>
          </w:rPr>
          <w:fldChar w:fldCharType="begin"/>
        </w:r>
        <w:r w:rsidR="007A2B5B">
          <w:rPr>
            <w:webHidden/>
          </w:rPr>
          <w:instrText xml:space="preserve"> PAGEREF _Toc146283027 \h </w:instrText>
        </w:r>
        <w:r w:rsidR="007A2B5B">
          <w:rPr>
            <w:webHidden/>
          </w:rPr>
        </w:r>
        <w:r w:rsidR="007A2B5B">
          <w:rPr>
            <w:webHidden/>
          </w:rPr>
          <w:fldChar w:fldCharType="separate"/>
        </w:r>
        <w:r w:rsidR="00B3724D">
          <w:rPr>
            <w:webHidden/>
          </w:rPr>
          <w:t>13</w:t>
        </w:r>
        <w:r w:rsidR="007A2B5B">
          <w:rPr>
            <w:webHidden/>
          </w:rPr>
          <w:fldChar w:fldCharType="end"/>
        </w:r>
      </w:hyperlink>
    </w:p>
    <w:p w14:paraId="5BE3B523" w14:textId="7D0E5FC1"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28" w:history="1">
        <w:r w:rsidR="007A2B5B" w:rsidRPr="00CC712E">
          <w:rPr>
            <w:rStyle w:val="Hyperlink"/>
          </w:rPr>
          <w:t xml:space="preserve">Slika 9: Splošna stopnja splošne rodnosti je začela v 80. letih prejšnjega stoletja upadati, dolgoročno </w:t>
        </w:r>
        <w:r w:rsidR="00482EC9">
          <w:rPr>
            <w:rStyle w:val="Hyperlink"/>
          </w:rPr>
          <w:br/>
        </w:r>
        <w:r w:rsidR="007A2B5B" w:rsidRPr="00CC712E">
          <w:rPr>
            <w:rStyle w:val="Hyperlink"/>
          </w:rPr>
          <w:t>bo znašala 47 živorojenih na 1000 žensk v rodni dobi</w:t>
        </w:r>
        <w:r w:rsidR="007A2B5B">
          <w:rPr>
            <w:webHidden/>
          </w:rPr>
          <w:tab/>
        </w:r>
        <w:r w:rsidR="007A2B5B">
          <w:rPr>
            <w:webHidden/>
          </w:rPr>
          <w:fldChar w:fldCharType="begin"/>
        </w:r>
        <w:r w:rsidR="007A2B5B">
          <w:rPr>
            <w:webHidden/>
          </w:rPr>
          <w:instrText xml:space="preserve"> PAGEREF _Toc146283028 \h </w:instrText>
        </w:r>
        <w:r w:rsidR="007A2B5B">
          <w:rPr>
            <w:webHidden/>
          </w:rPr>
        </w:r>
        <w:r w:rsidR="007A2B5B">
          <w:rPr>
            <w:webHidden/>
          </w:rPr>
          <w:fldChar w:fldCharType="separate"/>
        </w:r>
        <w:r w:rsidR="00B3724D">
          <w:rPr>
            <w:webHidden/>
          </w:rPr>
          <w:t>14</w:t>
        </w:r>
        <w:r w:rsidR="007A2B5B">
          <w:rPr>
            <w:webHidden/>
          </w:rPr>
          <w:fldChar w:fldCharType="end"/>
        </w:r>
      </w:hyperlink>
    </w:p>
    <w:p w14:paraId="49A8DE46" w14:textId="2B7C6128"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29" w:history="1">
        <w:r w:rsidR="007A2B5B" w:rsidRPr="00CC712E">
          <w:rPr>
            <w:rStyle w:val="Hyperlink"/>
          </w:rPr>
          <w:t>Slika 10: Od leta 2011 je v Sloveniji celotna stopnja rodnosti višja kot v povprečju EU-27, prav tako je</w:t>
        </w:r>
        <w:r w:rsidR="00215C51">
          <w:rPr>
            <w:rStyle w:val="Hyperlink"/>
          </w:rPr>
          <w:t xml:space="preserve"> </w:t>
        </w:r>
        <w:r w:rsidR="00482EC9">
          <w:rPr>
            <w:rStyle w:val="Hyperlink"/>
          </w:rPr>
          <w:br/>
        </w:r>
        <w:r w:rsidR="007A2B5B" w:rsidRPr="00CC712E">
          <w:rPr>
            <w:rStyle w:val="Hyperlink"/>
          </w:rPr>
          <w:t>nižja povprečna starost matere ob rojstvu otrok</w:t>
        </w:r>
        <w:r w:rsidR="007A2B5B">
          <w:rPr>
            <w:webHidden/>
          </w:rPr>
          <w:tab/>
        </w:r>
        <w:r w:rsidR="007A2B5B">
          <w:rPr>
            <w:webHidden/>
          </w:rPr>
          <w:fldChar w:fldCharType="begin"/>
        </w:r>
        <w:r w:rsidR="007A2B5B">
          <w:rPr>
            <w:webHidden/>
          </w:rPr>
          <w:instrText xml:space="preserve"> PAGEREF _Toc146283029 \h </w:instrText>
        </w:r>
        <w:r w:rsidR="007A2B5B">
          <w:rPr>
            <w:webHidden/>
          </w:rPr>
        </w:r>
        <w:r w:rsidR="007A2B5B">
          <w:rPr>
            <w:webHidden/>
          </w:rPr>
          <w:fldChar w:fldCharType="separate"/>
        </w:r>
        <w:r w:rsidR="00B3724D">
          <w:rPr>
            <w:webHidden/>
          </w:rPr>
          <w:t>14</w:t>
        </w:r>
        <w:r w:rsidR="007A2B5B">
          <w:rPr>
            <w:webHidden/>
          </w:rPr>
          <w:fldChar w:fldCharType="end"/>
        </w:r>
      </w:hyperlink>
    </w:p>
    <w:p w14:paraId="6E64061C" w14:textId="5DA800B0"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30" w:history="1">
        <w:r w:rsidR="007A2B5B" w:rsidRPr="00CC712E">
          <w:rPr>
            <w:rStyle w:val="Hyperlink"/>
          </w:rPr>
          <w:t xml:space="preserve">Slika 11: Leta 2100 naj bi bilo pričakovano trajanje življenja ob rojstvu v primerjavi z letom 2022 daljše </w:t>
        </w:r>
        <w:r w:rsidR="00482EC9">
          <w:rPr>
            <w:rStyle w:val="Hyperlink"/>
          </w:rPr>
          <w:br/>
        </w:r>
        <w:r w:rsidR="007A2B5B" w:rsidRPr="00CC712E">
          <w:rPr>
            <w:rStyle w:val="Hyperlink"/>
          </w:rPr>
          <w:t>za desetletje, približno za toliko pa se je povečalo tudi v zadnjih 40 letih</w:t>
        </w:r>
        <w:r w:rsidR="007A2B5B">
          <w:rPr>
            <w:webHidden/>
          </w:rPr>
          <w:tab/>
        </w:r>
        <w:r w:rsidR="007A2B5B">
          <w:rPr>
            <w:webHidden/>
          </w:rPr>
          <w:fldChar w:fldCharType="begin"/>
        </w:r>
        <w:r w:rsidR="007A2B5B">
          <w:rPr>
            <w:webHidden/>
          </w:rPr>
          <w:instrText xml:space="preserve"> PAGEREF _Toc146283030 \h </w:instrText>
        </w:r>
        <w:r w:rsidR="007A2B5B">
          <w:rPr>
            <w:webHidden/>
          </w:rPr>
        </w:r>
        <w:r w:rsidR="007A2B5B">
          <w:rPr>
            <w:webHidden/>
          </w:rPr>
          <w:fldChar w:fldCharType="separate"/>
        </w:r>
        <w:r w:rsidR="00B3724D">
          <w:rPr>
            <w:webHidden/>
          </w:rPr>
          <w:t>15</w:t>
        </w:r>
        <w:r w:rsidR="007A2B5B">
          <w:rPr>
            <w:webHidden/>
          </w:rPr>
          <w:fldChar w:fldCharType="end"/>
        </w:r>
      </w:hyperlink>
    </w:p>
    <w:p w14:paraId="0E4B427B" w14:textId="112F52E1"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31" w:history="1">
        <w:r w:rsidR="007A2B5B" w:rsidRPr="00CC712E">
          <w:rPr>
            <w:rStyle w:val="Hyperlink"/>
          </w:rPr>
          <w:t xml:space="preserve">Slika 12: Povprečna starost umrlih se je v obdobju 1954–1983, torej v 29 letih, povečala za 11 let, </w:t>
        </w:r>
        <w:r w:rsidR="00482EC9">
          <w:rPr>
            <w:rStyle w:val="Hyperlink"/>
          </w:rPr>
          <w:br/>
        </w:r>
        <w:r w:rsidR="007A2B5B" w:rsidRPr="00CC712E">
          <w:rPr>
            <w:rStyle w:val="Hyperlink"/>
          </w:rPr>
          <w:t>povečanje za naslednjih 11 let pa je trajalo 37 let (do leta 2020)</w:t>
        </w:r>
        <w:r w:rsidR="007A2B5B">
          <w:rPr>
            <w:webHidden/>
          </w:rPr>
          <w:tab/>
        </w:r>
        <w:r w:rsidR="007A2B5B">
          <w:rPr>
            <w:webHidden/>
          </w:rPr>
          <w:fldChar w:fldCharType="begin"/>
        </w:r>
        <w:r w:rsidR="007A2B5B">
          <w:rPr>
            <w:webHidden/>
          </w:rPr>
          <w:instrText xml:space="preserve"> PAGEREF _Toc146283031 \h </w:instrText>
        </w:r>
        <w:r w:rsidR="007A2B5B">
          <w:rPr>
            <w:webHidden/>
          </w:rPr>
        </w:r>
        <w:r w:rsidR="007A2B5B">
          <w:rPr>
            <w:webHidden/>
          </w:rPr>
          <w:fldChar w:fldCharType="separate"/>
        </w:r>
        <w:r w:rsidR="00B3724D">
          <w:rPr>
            <w:webHidden/>
          </w:rPr>
          <w:t>15</w:t>
        </w:r>
        <w:r w:rsidR="007A2B5B">
          <w:rPr>
            <w:webHidden/>
          </w:rPr>
          <w:fldChar w:fldCharType="end"/>
        </w:r>
      </w:hyperlink>
    </w:p>
    <w:p w14:paraId="78422825" w14:textId="5F8B4DA4"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32" w:history="1">
        <w:r w:rsidR="007A2B5B" w:rsidRPr="00CC712E">
          <w:rPr>
            <w:rStyle w:val="Hyperlink"/>
          </w:rPr>
          <w:t xml:space="preserve">Slika 13: V času epidemije covida-19 sta bili stopnja umrljivosti in presežna umrljivost najvišji v zadnjih </w:t>
        </w:r>
        <w:r w:rsidR="00482EC9">
          <w:rPr>
            <w:rStyle w:val="Hyperlink"/>
          </w:rPr>
          <w:br/>
        </w:r>
        <w:r w:rsidR="007A2B5B" w:rsidRPr="00CC712E">
          <w:rPr>
            <w:rStyle w:val="Hyperlink"/>
          </w:rPr>
          <w:t>skoraj 70 letih</w:t>
        </w:r>
        <w:r w:rsidR="007A2B5B">
          <w:rPr>
            <w:webHidden/>
          </w:rPr>
          <w:tab/>
        </w:r>
        <w:r w:rsidR="007A2B5B">
          <w:rPr>
            <w:webHidden/>
          </w:rPr>
          <w:fldChar w:fldCharType="begin"/>
        </w:r>
        <w:r w:rsidR="007A2B5B">
          <w:rPr>
            <w:webHidden/>
          </w:rPr>
          <w:instrText xml:space="preserve"> PAGEREF _Toc146283032 \h </w:instrText>
        </w:r>
        <w:r w:rsidR="007A2B5B">
          <w:rPr>
            <w:webHidden/>
          </w:rPr>
        </w:r>
        <w:r w:rsidR="007A2B5B">
          <w:rPr>
            <w:webHidden/>
          </w:rPr>
          <w:fldChar w:fldCharType="separate"/>
        </w:r>
        <w:r w:rsidR="00B3724D">
          <w:rPr>
            <w:webHidden/>
          </w:rPr>
          <w:t>16</w:t>
        </w:r>
        <w:r w:rsidR="007A2B5B">
          <w:rPr>
            <w:webHidden/>
          </w:rPr>
          <w:fldChar w:fldCharType="end"/>
        </w:r>
      </w:hyperlink>
    </w:p>
    <w:p w14:paraId="1D0B0DE0" w14:textId="7E2E667D"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33" w:history="1">
        <w:r w:rsidR="007A2B5B" w:rsidRPr="00CC712E">
          <w:rPr>
            <w:rStyle w:val="Hyperlink"/>
          </w:rPr>
          <w:t xml:space="preserve">Slika 14: Pričakovano trajanje življenja je v Sloveniji višje kot v povprečju EU, pri moških od leta 2014, </w:t>
        </w:r>
        <w:r w:rsidR="00482EC9">
          <w:rPr>
            <w:rStyle w:val="Hyperlink"/>
          </w:rPr>
          <w:br/>
        </w:r>
        <w:r w:rsidR="007A2B5B" w:rsidRPr="00CC712E">
          <w:rPr>
            <w:rStyle w:val="Hyperlink"/>
          </w:rPr>
          <w:t>pri ženskah pa od leta 2008</w:t>
        </w:r>
        <w:r w:rsidR="007A2B5B">
          <w:rPr>
            <w:webHidden/>
          </w:rPr>
          <w:tab/>
        </w:r>
        <w:r w:rsidR="007A2B5B">
          <w:rPr>
            <w:webHidden/>
          </w:rPr>
          <w:fldChar w:fldCharType="begin"/>
        </w:r>
        <w:r w:rsidR="007A2B5B">
          <w:rPr>
            <w:webHidden/>
          </w:rPr>
          <w:instrText xml:space="preserve"> PAGEREF _Toc146283033 \h </w:instrText>
        </w:r>
        <w:r w:rsidR="007A2B5B">
          <w:rPr>
            <w:webHidden/>
          </w:rPr>
        </w:r>
        <w:r w:rsidR="007A2B5B">
          <w:rPr>
            <w:webHidden/>
          </w:rPr>
          <w:fldChar w:fldCharType="separate"/>
        </w:r>
        <w:r w:rsidR="00B3724D">
          <w:rPr>
            <w:webHidden/>
          </w:rPr>
          <w:t>17</w:t>
        </w:r>
        <w:r w:rsidR="007A2B5B">
          <w:rPr>
            <w:webHidden/>
          </w:rPr>
          <w:fldChar w:fldCharType="end"/>
        </w:r>
      </w:hyperlink>
    </w:p>
    <w:p w14:paraId="4C201CB9" w14:textId="551EC86A"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34" w:history="1">
        <w:r w:rsidR="007A2B5B" w:rsidRPr="00CC712E">
          <w:rPr>
            <w:rStyle w:val="Hyperlink"/>
          </w:rPr>
          <w:t xml:space="preserve">Slika 15: Naravni prirast naj bi bil v prihodnosti negativen, selitveni pa je predpostavljen razmeroma </w:t>
        </w:r>
        <w:r w:rsidR="00482EC9">
          <w:rPr>
            <w:rStyle w:val="Hyperlink"/>
          </w:rPr>
          <w:br/>
        </w:r>
        <w:r w:rsidR="007A2B5B" w:rsidRPr="00CC712E">
          <w:rPr>
            <w:rStyle w:val="Hyperlink"/>
          </w:rPr>
          <w:t>visoko, kar blaži upadanje števila prebivalcev</w:t>
        </w:r>
        <w:r w:rsidR="007A2B5B">
          <w:rPr>
            <w:webHidden/>
          </w:rPr>
          <w:tab/>
        </w:r>
        <w:r w:rsidR="007A2B5B">
          <w:rPr>
            <w:webHidden/>
          </w:rPr>
          <w:fldChar w:fldCharType="begin"/>
        </w:r>
        <w:r w:rsidR="007A2B5B">
          <w:rPr>
            <w:webHidden/>
          </w:rPr>
          <w:instrText xml:space="preserve"> PAGEREF _Toc146283034 \h </w:instrText>
        </w:r>
        <w:r w:rsidR="007A2B5B">
          <w:rPr>
            <w:webHidden/>
          </w:rPr>
        </w:r>
        <w:r w:rsidR="007A2B5B">
          <w:rPr>
            <w:webHidden/>
          </w:rPr>
          <w:fldChar w:fldCharType="separate"/>
        </w:r>
        <w:r w:rsidR="00B3724D">
          <w:rPr>
            <w:webHidden/>
          </w:rPr>
          <w:t>17</w:t>
        </w:r>
        <w:r w:rsidR="007A2B5B">
          <w:rPr>
            <w:webHidden/>
          </w:rPr>
          <w:fldChar w:fldCharType="end"/>
        </w:r>
      </w:hyperlink>
    </w:p>
    <w:p w14:paraId="06FAB097" w14:textId="7B443625"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35" w:history="1">
        <w:r w:rsidR="007A2B5B" w:rsidRPr="00CC712E">
          <w:rPr>
            <w:rStyle w:val="Hyperlink"/>
          </w:rPr>
          <w:t>Slika 16: Neto selitveni prirast niha v skladu z gospodarskih ciklom in potrebami po delovni sili</w:t>
        </w:r>
        <w:r w:rsidR="007A2B5B">
          <w:rPr>
            <w:webHidden/>
          </w:rPr>
          <w:tab/>
        </w:r>
        <w:r w:rsidR="007A2B5B">
          <w:rPr>
            <w:webHidden/>
          </w:rPr>
          <w:fldChar w:fldCharType="begin"/>
        </w:r>
        <w:r w:rsidR="007A2B5B">
          <w:rPr>
            <w:webHidden/>
          </w:rPr>
          <w:instrText xml:space="preserve"> PAGEREF _Toc146283035 \h </w:instrText>
        </w:r>
        <w:r w:rsidR="007A2B5B">
          <w:rPr>
            <w:webHidden/>
          </w:rPr>
        </w:r>
        <w:r w:rsidR="007A2B5B">
          <w:rPr>
            <w:webHidden/>
          </w:rPr>
          <w:fldChar w:fldCharType="separate"/>
        </w:r>
        <w:r w:rsidR="00B3724D">
          <w:rPr>
            <w:webHidden/>
          </w:rPr>
          <w:t>18</w:t>
        </w:r>
        <w:r w:rsidR="007A2B5B">
          <w:rPr>
            <w:webHidden/>
          </w:rPr>
          <w:fldChar w:fldCharType="end"/>
        </w:r>
      </w:hyperlink>
    </w:p>
    <w:p w14:paraId="5A5539FD" w14:textId="7E9903C3"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36" w:history="1">
        <w:r w:rsidR="007A2B5B" w:rsidRPr="00CC712E">
          <w:rPr>
            <w:rStyle w:val="Hyperlink"/>
            <w:spacing w:val="1"/>
          </w:rPr>
          <w:t xml:space="preserve">Slika 17: Stopnja splošne selivnosti* je bila v Sloveniji v obdobju 1991–2021 nekoliko nižja od </w:t>
        </w:r>
        <w:r w:rsidR="00482EC9">
          <w:rPr>
            <w:rStyle w:val="Hyperlink"/>
            <w:spacing w:val="1"/>
          </w:rPr>
          <w:br/>
        </w:r>
        <w:r w:rsidR="007A2B5B" w:rsidRPr="00CC712E">
          <w:rPr>
            <w:rStyle w:val="Hyperlink"/>
            <w:spacing w:val="1"/>
          </w:rPr>
          <w:t>povprečja EU</w:t>
        </w:r>
        <w:r w:rsidR="007A2B5B">
          <w:rPr>
            <w:webHidden/>
          </w:rPr>
          <w:tab/>
        </w:r>
        <w:r w:rsidR="007A2B5B">
          <w:rPr>
            <w:webHidden/>
          </w:rPr>
          <w:fldChar w:fldCharType="begin"/>
        </w:r>
        <w:r w:rsidR="007A2B5B">
          <w:rPr>
            <w:webHidden/>
          </w:rPr>
          <w:instrText xml:space="preserve"> PAGEREF _Toc146283036 \h </w:instrText>
        </w:r>
        <w:r w:rsidR="007A2B5B">
          <w:rPr>
            <w:webHidden/>
          </w:rPr>
        </w:r>
        <w:r w:rsidR="007A2B5B">
          <w:rPr>
            <w:webHidden/>
          </w:rPr>
          <w:fldChar w:fldCharType="separate"/>
        </w:r>
        <w:r w:rsidR="00B3724D">
          <w:rPr>
            <w:webHidden/>
          </w:rPr>
          <w:t>19</w:t>
        </w:r>
        <w:r w:rsidR="007A2B5B">
          <w:rPr>
            <w:webHidden/>
          </w:rPr>
          <w:fldChar w:fldCharType="end"/>
        </w:r>
      </w:hyperlink>
    </w:p>
    <w:p w14:paraId="129E9467" w14:textId="4F323A50"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37" w:history="1">
        <w:r w:rsidR="007A2B5B" w:rsidRPr="00CC712E">
          <w:rPr>
            <w:rStyle w:val="Hyperlink"/>
          </w:rPr>
          <w:t xml:space="preserve">Slika 18: Po scenariju nižje rodnosti bi se v povprečju na leto rodilo 12.275 otrok, kar je 4831 oz. 28 % </w:t>
        </w:r>
        <w:r w:rsidR="00482EC9">
          <w:rPr>
            <w:rStyle w:val="Hyperlink"/>
          </w:rPr>
          <w:br/>
        </w:r>
        <w:r w:rsidR="007A2B5B" w:rsidRPr="00CC712E">
          <w:rPr>
            <w:rStyle w:val="Hyperlink"/>
          </w:rPr>
          <w:t>manj kot v osnovnem scenariju</w:t>
        </w:r>
        <w:r w:rsidR="007A2B5B">
          <w:rPr>
            <w:webHidden/>
          </w:rPr>
          <w:tab/>
        </w:r>
        <w:r w:rsidR="007A2B5B">
          <w:rPr>
            <w:webHidden/>
          </w:rPr>
          <w:fldChar w:fldCharType="begin"/>
        </w:r>
        <w:r w:rsidR="007A2B5B">
          <w:rPr>
            <w:webHidden/>
          </w:rPr>
          <w:instrText xml:space="preserve"> PAGEREF _Toc146283037 \h </w:instrText>
        </w:r>
        <w:r w:rsidR="007A2B5B">
          <w:rPr>
            <w:webHidden/>
          </w:rPr>
        </w:r>
        <w:r w:rsidR="007A2B5B">
          <w:rPr>
            <w:webHidden/>
          </w:rPr>
          <w:fldChar w:fldCharType="separate"/>
        </w:r>
        <w:r w:rsidR="00B3724D">
          <w:rPr>
            <w:webHidden/>
          </w:rPr>
          <w:t>20</w:t>
        </w:r>
        <w:r w:rsidR="007A2B5B">
          <w:rPr>
            <w:webHidden/>
          </w:rPr>
          <w:fldChar w:fldCharType="end"/>
        </w:r>
      </w:hyperlink>
    </w:p>
    <w:p w14:paraId="68AFDFB3" w14:textId="54F3ED3F"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38" w:history="1">
        <w:r w:rsidR="007A2B5B" w:rsidRPr="00CC712E">
          <w:rPr>
            <w:rStyle w:val="Hyperlink"/>
          </w:rPr>
          <w:t>Slika 19: Po scenariju nižje umrljivosti bi deček, rojen leta 2100, lahko pričakoval 91,2 leti življenja,</w:t>
        </w:r>
        <w:r w:rsidR="00215C51">
          <w:rPr>
            <w:rStyle w:val="Hyperlink"/>
          </w:rPr>
          <w:t xml:space="preserve"> </w:t>
        </w:r>
        <w:r w:rsidR="00482EC9">
          <w:rPr>
            <w:rStyle w:val="Hyperlink"/>
          </w:rPr>
          <w:br/>
        </w:r>
        <w:r w:rsidR="007A2B5B" w:rsidRPr="00CC712E">
          <w:rPr>
            <w:rStyle w:val="Hyperlink"/>
          </w:rPr>
          <w:t>deklica pa 95,1 leta, kar je 1,8 leta več kot v osnovnem scenariju</w:t>
        </w:r>
        <w:r w:rsidR="007A2B5B">
          <w:rPr>
            <w:webHidden/>
          </w:rPr>
          <w:tab/>
        </w:r>
        <w:r w:rsidR="007A2B5B">
          <w:rPr>
            <w:webHidden/>
          </w:rPr>
          <w:fldChar w:fldCharType="begin"/>
        </w:r>
        <w:r w:rsidR="007A2B5B">
          <w:rPr>
            <w:webHidden/>
          </w:rPr>
          <w:instrText xml:space="preserve"> PAGEREF _Toc146283038 \h </w:instrText>
        </w:r>
        <w:r w:rsidR="007A2B5B">
          <w:rPr>
            <w:webHidden/>
          </w:rPr>
        </w:r>
        <w:r w:rsidR="007A2B5B">
          <w:rPr>
            <w:webHidden/>
          </w:rPr>
          <w:fldChar w:fldCharType="separate"/>
        </w:r>
        <w:r w:rsidR="00B3724D">
          <w:rPr>
            <w:webHidden/>
          </w:rPr>
          <w:t>21</w:t>
        </w:r>
        <w:r w:rsidR="007A2B5B">
          <w:rPr>
            <w:webHidden/>
          </w:rPr>
          <w:fldChar w:fldCharType="end"/>
        </w:r>
      </w:hyperlink>
    </w:p>
    <w:p w14:paraId="3E25BD47" w14:textId="2CE17017"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39" w:history="1">
        <w:r w:rsidR="007A2B5B" w:rsidRPr="00CC712E">
          <w:rPr>
            <w:rStyle w:val="Hyperlink"/>
          </w:rPr>
          <w:t xml:space="preserve">Slika 20: Za neto selitveni prirast je EUROPOP2023 predvidel štiri različne variante: ničelni prirast ter </w:t>
        </w:r>
        <w:r w:rsidR="00482EC9">
          <w:rPr>
            <w:rStyle w:val="Hyperlink"/>
          </w:rPr>
          <w:br/>
        </w:r>
        <w:r w:rsidR="007A2B5B" w:rsidRPr="00CC712E">
          <w:rPr>
            <w:rStyle w:val="Hyperlink"/>
          </w:rPr>
          <w:t>priraste, ki znašajo v povprečju na leto 9702, 6108 oz. 2583 oseb</w:t>
        </w:r>
        <w:r w:rsidR="007A2B5B">
          <w:rPr>
            <w:webHidden/>
          </w:rPr>
          <w:tab/>
        </w:r>
        <w:r w:rsidR="007A2B5B">
          <w:rPr>
            <w:webHidden/>
          </w:rPr>
          <w:fldChar w:fldCharType="begin"/>
        </w:r>
        <w:r w:rsidR="007A2B5B">
          <w:rPr>
            <w:webHidden/>
          </w:rPr>
          <w:instrText xml:space="preserve"> PAGEREF _Toc146283039 \h </w:instrText>
        </w:r>
        <w:r w:rsidR="007A2B5B">
          <w:rPr>
            <w:webHidden/>
          </w:rPr>
        </w:r>
        <w:r w:rsidR="007A2B5B">
          <w:rPr>
            <w:webHidden/>
          </w:rPr>
          <w:fldChar w:fldCharType="separate"/>
        </w:r>
        <w:r w:rsidR="00B3724D">
          <w:rPr>
            <w:webHidden/>
          </w:rPr>
          <w:t>21</w:t>
        </w:r>
        <w:r w:rsidR="007A2B5B">
          <w:rPr>
            <w:webHidden/>
          </w:rPr>
          <w:fldChar w:fldCharType="end"/>
        </w:r>
      </w:hyperlink>
    </w:p>
    <w:p w14:paraId="48DB322C" w14:textId="5F95F2E7"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40" w:history="1">
        <w:r w:rsidR="007A2B5B" w:rsidRPr="00CC712E">
          <w:rPr>
            <w:rStyle w:val="Hyperlink"/>
          </w:rPr>
          <w:t xml:space="preserve">Slika 21: Število rojenih in umrlih je višje kot v osnovnem scenariju v primeru višjega selitvenega </w:t>
        </w:r>
        <w:r w:rsidR="00482EC9">
          <w:rPr>
            <w:rStyle w:val="Hyperlink"/>
          </w:rPr>
          <w:br/>
        </w:r>
        <w:r w:rsidR="007A2B5B" w:rsidRPr="00CC712E">
          <w:rPr>
            <w:rStyle w:val="Hyperlink"/>
          </w:rPr>
          <w:t>prirasta; število umrlih pa bo sicer v prihodnje precej višje kot danes (slika desno)</w:t>
        </w:r>
        <w:r w:rsidR="007A2B5B">
          <w:rPr>
            <w:webHidden/>
          </w:rPr>
          <w:tab/>
        </w:r>
        <w:r w:rsidR="007A2B5B">
          <w:rPr>
            <w:webHidden/>
          </w:rPr>
          <w:fldChar w:fldCharType="begin"/>
        </w:r>
        <w:r w:rsidR="007A2B5B">
          <w:rPr>
            <w:webHidden/>
          </w:rPr>
          <w:instrText xml:space="preserve"> PAGEREF _Toc146283040 \h </w:instrText>
        </w:r>
        <w:r w:rsidR="007A2B5B">
          <w:rPr>
            <w:webHidden/>
          </w:rPr>
        </w:r>
        <w:r w:rsidR="007A2B5B">
          <w:rPr>
            <w:webHidden/>
          </w:rPr>
          <w:fldChar w:fldCharType="separate"/>
        </w:r>
        <w:r w:rsidR="00B3724D">
          <w:rPr>
            <w:webHidden/>
          </w:rPr>
          <w:t>22</w:t>
        </w:r>
        <w:r w:rsidR="007A2B5B">
          <w:rPr>
            <w:webHidden/>
          </w:rPr>
          <w:fldChar w:fldCharType="end"/>
        </w:r>
      </w:hyperlink>
    </w:p>
    <w:p w14:paraId="1C20929C" w14:textId="16946BE0"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41" w:history="1">
        <w:r w:rsidR="007A2B5B" w:rsidRPr="00CC712E">
          <w:rPr>
            <w:rStyle w:val="Hyperlink"/>
          </w:rPr>
          <w:t xml:space="preserve">Slika 22: Leta 2100 bi v Sloveniji le ob scenariju višjih migracij živelo nekoliko več prebivalcev kot danes, </w:t>
        </w:r>
        <w:r w:rsidR="00482EC9">
          <w:rPr>
            <w:rStyle w:val="Hyperlink"/>
          </w:rPr>
          <w:br/>
        </w:r>
        <w:r w:rsidR="007A2B5B" w:rsidRPr="00CC712E">
          <w:rPr>
            <w:rStyle w:val="Hyperlink"/>
          </w:rPr>
          <w:t>v primerjavi z osnovnim scenarijem pa bi bilo število prebivalcev višje še ob scenariju nižje umrljivosti</w:t>
        </w:r>
        <w:r w:rsidR="007A2B5B">
          <w:rPr>
            <w:webHidden/>
          </w:rPr>
          <w:tab/>
        </w:r>
        <w:r w:rsidR="007A2B5B">
          <w:rPr>
            <w:webHidden/>
          </w:rPr>
          <w:fldChar w:fldCharType="begin"/>
        </w:r>
        <w:r w:rsidR="007A2B5B">
          <w:rPr>
            <w:webHidden/>
          </w:rPr>
          <w:instrText xml:space="preserve"> PAGEREF _Toc146283041 \h </w:instrText>
        </w:r>
        <w:r w:rsidR="007A2B5B">
          <w:rPr>
            <w:webHidden/>
          </w:rPr>
        </w:r>
        <w:r w:rsidR="007A2B5B">
          <w:rPr>
            <w:webHidden/>
          </w:rPr>
          <w:fldChar w:fldCharType="separate"/>
        </w:r>
        <w:r w:rsidR="00B3724D">
          <w:rPr>
            <w:webHidden/>
          </w:rPr>
          <w:t>23</w:t>
        </w:r>
        <w:r w:rsidR="007A2B5B">
          <w:rPr>
            <w:webHidden/>
          </w:rPr>
          <w:fldChar w:fldCharType="end"/>
        </w:r>
      </w:hyperlink>
    </w:p>
    <w:p w14:paraId="28A52F3C" w14:textId="583D5995"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42" w:history="1">
        <w:r w:rsidR="007A2B5B" w:rsidRPr="00CC712E">
          <w:rPr>
            <w:rStyle w:val="Hyperlink"/>
            <w:spacing w:val="-2"/>
          </w:rPr>
          <w:t>Slika 23: Tudi ob višjem neto selitvenem prirastu bi bilo po letu 2045 manj delovno sposobnih kot danes</w:t>
        </w:r>
        <w:r w:rsidR="007A2B5B">
          <w:rPr>
            <w:webHidden/>
          </w:rPr>
          <w:tab/>
        </w:r>
        <w:r w:rsidR="007A2B5B">
          <w:rPr>
            <w:webHidden/>
          </w:rPr>
          <w:fldChar w:fldCharType="begin"/>
        </w:r>
        <w:r w:rsidR="007A2B5B">
          <w:rPr>
            <w:webHidden/>
          </w:rPr>
          <w:instrText xml:space="preserve"> PAGEREF _Toc146283042 \h </w:instrText>
        </w:r>
        <w:r w:rsidR="007A2B5B">
          <w:rPr>
            <w:webHidden/>
          </w:rPr>
        </w:r>
        <w:r w:rsidR="007A2B5B">
          <w:rPr>
            <w:webHidden/>
          </w:rPr>
          <w:fldChar w:fldCharType="separate"/>
        </w:r>
        <w:r w:rsidR="00B3724D">
          <w:rPr>
            <w:webHidden/>
          </w:rPr>
          <w:t>23</w:t>
        </w:r>
        <w:r w:rsidR="007A2B5B">
          <w:rPr>
            <w:webHidden/>
          </w:rPr>
          <w:fldChar w:fldCharType="end"/>
        </w:r>
      </w:hyperlink>
    </w:p>
    <w:p w14:paraId="6411CBFD" w14:textId="56FB2FB0"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43" w:history="1">
        <w:r w:rsidR="007A2B5B" w:rsidRPr="00CC712E">
          <w:rPr>
            <w:rStyle w:val="Hyperlink"/>
          </w:rPr>
          <w:t xml:space="preserve">Slika 24: Le v scenariju višjega selitvenega prirasta bi bilo prebivalcev več kot v osnovnem scenariju, </w:t>
        </w:r>
        <w:r w:rsidR="00482EC9">
          <w:rPr>
            <w:rStyle w:val="Hyperlink"/>
          </w:rPr>
          <w:br/>
        </w:r>
        <w:r w:rsidR="007A2B5B" w:rsidRPr="00CC712E">
          <w:rPr>
            <w:rStyle w:val="Hyperlink"/>
          </w:rPr>
          <w:t>poleg tega je to edini scenarij, kjer bi bil koeficient starostne odvisnosti starejših nižji kot v osnovnem scenariju; leto 2060 (leva slika) in leto 2100 (desna slika)</w:t>
        </w:r>
        <w:r w:rsidR="007A2B5B">
          <w:rPr>
            <w:webHidden/>
          </w:rPr>
          <w:tab/>
        </w:r>
        <w:r w:rsidR="007A2B5B">
          <w:rPr>
            <w:webHidden/>
          </w:rPr>
          <w:fldChar w:fldCharType="begin"/>
        </w:r>
        <w:r w:rsidR="007A2B5B">
          <w:rPr>
            <w:webHidden/>
          </w:rPr>
          <w:instrText xml:space="preserve"> PAGEREF _Toc146283043 \h </w:instrText>
        </w:r>
        <w:r w:rsidR="007A2B5B">
          <w:rPr>
            <w:webHidden/>
          </w:rPr>
        </w:r>
        <w:r w:rsidR="007A2B5B">
          <w:rPr>
            <w:webHidden/>
          </w:rPr>
          <w:fldChar w:fldCharType="separate"/>
        </w:r>
        <w:r w:rsidR="00B3724D">
          <w:rPr>
            <w:webHidden/>
          </w:rPr>
          <w:t>23</w:t>
        </w:r>
        <w:r w:rsidR="007A2B5B">
          <w:rPr>
            <w:webHidden/>
          </w:rPr>
          <w:fldChar w:fldCharType="end"/>
        </w:r>
      </w:hyperlink>
    </w:p>
    <w:p w14:paraId="19CB95C9" w14:textId="7D615F6E"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44" w:history="1">
        <w:r w:rsidR="007A2B5B" w:rsidRPr="00CC712E">
          <w:rPr>
            <w:rStyle w:val="Hyperlink"/>
          </w:rPr>
          <w:t xml:space="preserve">Slika 25: V primeru višjega selitvenega prirasta bi se število prebivalcev med leti 2022 in 2100 lahko </w:t>
        </w:r>
        <w:r w:rsidR="00482EC9">
          <w:rPr>
            <w:rStyle w:val="Hyperlink"/>
          </w:rPr>
          <w:br/>
        </w:r>
        <w:r w:rsidR="007A2B5B" w:rsidRPr="00CC712E">
          <w:rPr>
            <w:rStyle w:val="Hyperlink"/>
          </w:rPr>
          <w:t>povečalo, najbolj število starejših, število mladih in delovno sposobnih pa bi najmanj upadlo</w:t>
        </w:r>
        <w:r w:rsidR="007A2B5B">
          <w:rPr>
            <w:webHidden/>
          </w:rPr>
          <w:tab/>
        </w:r>
        <w:r w:rsidR="007A2B5B">
          <w:rPr>
            <w:webHidden/>
          </w:rPr>
          <w:fldChar w:fldCharType="begin"/>
        </w:r>
        <w:r w:rsidR="007A2B5B">
          <w:rPr>
            <w:webHidden/>
          </w:rPr>
          <w:instrText xml:space="preserve"> PAGEREF _Toc146283044 \h </w:instrText>
        </w:r>
        <w:r w:rsidR="007A2B5B">
          <w:rPr>
            <w:webHidden/>
          </w:rPr>
        </w:r>
        <w:r w:rsidR="007A2B5B">
          <w:rPr>
            <w:webHidden/>
          </w:rPr>
          <w:fldChar w:fldCharType="separate"/>
        </w:r>
        <w:r w:rsidR="00B3724D">
          <w:rPr>
            <w:webHidden/>
          </w:rPr>
          <w:t>24</w:t>
        </w:r>
        <w:r w:rsidR="007A2B5B">
          <w:rPr>
            <w:webHidden/>
          </w:rPr>
          <w:fldChar w:fldCharType="end"/>
        </w:r>
      </w:hyperlink>
    </w:p>
    <w:p w14:paraId="323DF093" w14:textId="1B96FFC4"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45" w:history="1">
        <w:r w:rsidR="007A2B5B" w:rsidRPr="00CC712E">
          <w:rPr>
            <w:rStyle w:val="Hyperlink"/>
          </w:rPr>
          <w:t xml:space="preserve">Slika 26: Izmed testov občutljivosti bi bil v primerjavi z osnovnim scenarijem koeficient starostne </w:t>
        </w:r>
        <w:r w:rsidR="00482EC9">
          <w:rPr>
            <w:rStyle w:val="Hyperlink"/>
          </w:rPr>
          <w:br/>
        </w:r>
        <w:r w:rsidR="007A2B5B" w:rsidRPr="00CC712E">
          <w:rPr>
            <w:rStyle w:val="Hyperlink"/>
          </w:rPr>
          <w:t>odvisnosti starejših leta 2100 najvišji v scenariju nižje rodnosti (leva slika), prav tako bi bil v tem scenariju koeficient najvišji leta 2100 v primerjavi z letom 2022 (desna slika)</w:t>
        </w:r>
        <w:r w:rsidR="007A2B5B">
          <w:rPr>
            <w:webHidden/>
          </w:rPr>
          <w:tab/>
        </w:r>
        <w:r w:rsidR="007A2B5B">
          <w:rPr>
            <w:webHidden/>
          </w:rPr>
          <w:fldChar w:fldCharType="begin"/>
        </w:r>
        <w:r w:rsidR="007A2B5B">
          <w:rPr>
            <w:webHidden/>
          </w:rPr>
          <w:instrText xml:space="preserve"> PAGEREF _Toc146283045 \h </w:instrText>
        </w:r>
        <w:r w:rsidR="007A2B5B">
          <w:rPr>
            <w:webHidden/>
          </w:rPr>
        </w:r>
        <w:r w:rsidR="007A2B5B">
          <w:rPr>
            <w:webHidden/>
          </w:rPr>
          <w:fldChar w:fldCharType="separate"/>
        </w:r>
        <w:r w:rsidR="00B3724D">
          <w:rPr>
            <w:webHidden/>
          </w:rPr>
          <w:t>24</w:t>
        </w:r>
        <w:r w:rsidR="007A2B5B">
          <w:rPr>
            <w:webHidden/>
          </w:rPr>
          <w:fldChar w:fldCharType="end"/>
        </w:r>
      </w:hyperlink>
    </w:p>
    <w:p w14:paraId="37F68A4D" w14:textId="77777777" w:rsidR="007A2B5B" w:rsidRDefault="00104828" w:rsidP="00482EC9">
      <w:pPr>
        <w:spacing w:afterLines="50" w:after="120" w:line="240" w:lineRule="auto"/>
        <w:rPr>
          <w:noProof/>
        </w:rPr>
      </w:pPr>
      <w:r w:rsidRPr="00705FED">
        <w:rPr>
          <w:rFonts w:ascii="Myriad Pro" w:hAnsi="Myriad Pro"/>
          <w:noProof/>
          <w:sz w:val="20"/>
          <w:szCs w:val="20"/>
        </w:rPr>
        <w:fldChar w:fldCharType="end"/>
      </w:r>
      <w:r w:rsidR="00583FF9">
        <w:rPr>
          <w:rFonts w:ascii="Myriad Pro" w:hAnsi="Myriad Pro"/>
          <w:noProof/>
          <w:sz w:val="20"/>
          <w:szCs w:val="20"/>
        </w:rPr>
        <w:fldChar w:fldCharType="begin"/>
      </w:r>
      <w:r w:rsidR="00583FF9">
        <w:rPr>
          <w:rFonts w:ascii="Myriad Pro" w:hAnsi="Myriad Pro"/>
          <w:noProof/>
          <w:sz w:val="20"/>
          <w:szCs w:val="20"/>
        </w:rPr>
        <w:instrText xml:space="preserve"> TOC \h \z \c "Tabela" </w:instrText>
      </w:r>
      <w:r w:rsidR="00583FF9">
        <w:rPr>
          <w:rFonts w:ascii="Myriad Pro" w:hAnsi="Myriad Pro"/>
          <w:noProof/>
          <w:sz w:val="20"/>
          <w:szCs w:val="20"/>
        </w:rPr>
        <w:fldChar w:fldCharType="separate"/>
      </w:r>
    </w:p>
    <w:p w14:paraId="0824721C" w14:textId="36DE7A85"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46" w:history="1">
        <w:r w:rsidR="007A2B5B" w:rsidRPr="00C20BA8">
          <w:rPr>
            <w:rStyle w:val="Hyperlink"/>
          </w:rPr>
          <w:t>Tabela 1: Demografski kazalniki projekcije EUROPOP2023, povprečja obdobij</w:t>
        </w:r>
        <w:r w:rsidR="007A2B5B">
          <w:rPr>
            <w:webHidden/>
          </w:rPr>
          <w:tab/>
        </w:r>
        <w:r w:rsidR="007A2B5B">
          <w:rPr>
            <w:webHidden/>
          </w:rPr>
          <w:fldChar w:fldCharType="begin"/>
        </w:r>
        <w:r w:rsidR="007A2B5B">
          <w:rPr>
            <w:webHidden/>
          </w:rPr>
          <w:instrText xml:space="preserve"> PAGEREF _Toc146283046 \h </w:instrText>
        </w:r>
        <w:r w:rsidR="007A2B5B">
          <w:rPr>
            <w:webHidden/>
          </w:rPr>
        </w:r>
        <w:r w:rsidR="007A2B5B">
          <w:rPr>
            <w:webHidden/>
          </w:rPr>
          <w:fldChar w:fldCharType="separate"/>
        </w:r>
        <w:r w:rsidR="00B3724D">
          <w:rPr>
            <w:webHidden/>
          </w:rPr>
          <w:t>11</w:t>
        </w:r>
        <w:r w:rsidR="007A2B5B">
          <w:rPr>
            <w:webHidden/>
          </w:rPr>
          <w:fldChar w:fldCharType="end"/>
        </w:r>
      </w:hyperlink>
    </w:p>
    <w:p w14:paraId="793A503E" w14:textId="0ADEBEF9" w:rsidR="007A2B5B" w:rsidRDefault="002B2E8C" w:rsidP="00482EC9">
      <w:pPr>
        <w:pStyle w:val="TableofFigures"/>
        <w:spacing w:afterLines="50" w:after="120"/>
        <w:jc w:val="left"/>
        <w:rPr>
          <w:rFonts w:asciiTheme="minorHAnsi" w:eastAsiaTheme="minorEastAsia" w:hAnsiTheme="minorHAnsi"/>
          <w:kern w:val="2"/>
          <w:sz w:val="22"/>
          <w:lang w:eastAsia="sl-SI"/>
          <w14:ligatures w14:val="standardContextual"/>
        </w:rPr>
      </w:pPr>
      <w:hyperlink w:anchor="_Toc146283047" w:history="1">
        <w:r w:rsidR="007A2B5B" w:rsidRPr="00C20BA8">
          <w:rPr>
            <w:rStyle w:val="Hyperlink"/>
          </w:rPr>
          <w:t xml:space="preserve">Tabela 2: Demografski kazalniki osnovne projekcije EUROPOP2023 in scenarijev občutljivosti za Slovenijo </w:t>
        </w:r>
        <w:r w:rsidR="00482EC9">
          <w:rPr>
            <w:rStyle w:val="Hyperlink"/>
          </w:rPr>
          <w:br/>
        </w:r>
        <w:r w:rsidR="007A2B5B" w:rsidRPr="00C20BA8">
          <w:rPr>
            <w:rStyle w:val="Hyperlink"/>
          </w:rPr>
          <w:t>in EU za leta 2022, 2060 in 2100</w:t>
        </w:r>
        <w:r w:rsidR="007A2B5B">
          <w:rPr>
            <w:webHidden/>
          </w:rPr>
          <w:tab/>
        </w:r>
        <w:r w:rsidR="007A2B5B">
          <w:rPr>
            <w:webHidden/>
          </w:rPr>
          <w:fldChar w:fldCharType="begin"/>
        </w:r>
        <w:r w:rsidR="007A2B5B">
          <w:rPr>
            <w:webHidden/>
          </w:rPr>
          <w:instrText xml:space="preserve"> PAGEREF _Toc146283047 \h </w:instrText>
        </w:r>
        <w:r w:rsidR="007A2B5B">
          <w:rPr>
            <w:webHidden/>
          </w:rPr>
        </w:r>
        <w:r w:rsidR="007A2B5B">
          <w:rPr>
            <w:webHidden/>
          </w:rPr>
          <w:fldChar w:fldCharType="separate"/>
        </w:r>
        <w:r w:rsidR="00B3724D">
          <w:rPr>
            <w:webHidden/>
          </w:rPr>
          <w:t>25</w:t>
        </w:r>
        <w:r w:rsidR="007A2B5B">
          <w:rPr>
            <w:webHidden/>
          </w:rPr>
          <w:fldChar w:fldCharType="end"/>
        </w:r>
      </w:hyperlink>
    </w:p>
    <w:p w14:paraId="0F52B689" w14:textId="6A41A1D6" w:rsidR="00C57501" w:rsidRPr="00705FED" w:rsidRDefault="00583FF9" w:rsidP="00482EC9">
      <w:pPr>
        <w:spacing w:afterLines="50" w:after="120" w:line="240" w:lineRule="auto"/>
        <w:rPr>
          <w:rFonts w:ascii="Myriad Pro" w:hAnsi="Myriad Pro" w:cs="Arial"/>
          <w:color w:val="9E001A" w:themeColor="accent1"/>
          <w:kern w:val="32"/>
          <w:sz w:val="28"/>
        </w:rPr>
      </w:pPr>
      <w:r>
        <w:rPr>
          <w:rFonts w:ascii="Myriad Pro" w:hAnsi="Myriad Pro"/>
          <w:noProof/>
          <w:sz w:val="20"/>
          <w:szCs w:val="20"/>
        </w:rPr>
        <w:fldChar w:fldCharType="end"/>
      </w:r>
      <w:r w:rsidR="00C57501" w:rsidRPr="00705FED">
        <w:br w:type="page"/>
      </w:r>
      <w:bookmarkStart w:id="13" w:name="_GoBack"/>
      <w:bookmarkEnd w:id="13"/>
    </w:p>
    <w:p w14:paraId="4407B112" w14:textId="2D541FBF" w:rsidR="00471713" w:rsidRDefault="00471713" w:rsidP="00471713">
      <w:pPr>
        <w:pStyle w:val="Heading1"/>
        <w:numPr>
          <w:ilvl w:val="0"/>
          <w:numId w:val="0"/>
        </w:numPr>
        <w:rPr>
          <w:rStyle w:val="VodilnistavekUMAR"/>
        </w:rPr>
      </w:pPr>
      <w:bookmarkStart w:id="14" w:name="_Toc146283008"/>
      <w:r w:rsidRPr="00471713">
        <w:lastRenderedPageBreak/>
        <w:t>Povzetek</w:t>
      </w:r>
      <w:bookmarkEnd w:id="14"/>
    </w:p>
    <w:p w14:paraId="7620E690" w14:textId="77777777" w:rsidR="00471713" w:rsidRDefault="00471713" w:rsidP="00E60966">
      <w:pPr>
        <w:pStyle w:val="BesediloUMAR"/>
        <w:rPr>
          <w:rStyle w:val="VodilnistavekUMAR"/>
        </w:rPr>
      </w:pPr>
    </w:p>
    <w:p w14:paraId="54A13ED0" w14:textId="608FD997" w:rsidR="00F44A1E" w:rsidRDefault="003927B3" w:rsidP="00302F8E">
      <w:pPr>
        <w:pStyle w:val="BesediloUMAR"/>
        <w:rPr>
          <w:rStyle w:val="BoldpoudarekUMAR"/>
        </w:rPr>
      </w:pPr>
      <w:r w:rsidRPr="00A56F0F">
        <w:rPr>
          <w:rStyle w:val="BoldpoudarekUMAR"/>
        </w:rPr>
        <w:t>Eurostat je konec marca</w:t>
      </w:r>
      <w:r w:rsidR="00FF79EA">
        <w:rPr>
          <w:rStyle w:val="BoldpoudarekUMAR"/>
        </w:rPr>
        <w:t xml:space="preserve"> 2023</w:t>
      </w:r>
      <w:r w:rsidRPr="00A56F0F">
        <w:rPr>
          <w:rStyle w:val="BoldpoudarekUMAR"/>
        </w:rPr>
        <w:t xml:space="preserve"> objavil nove projekcije prebival</w:t>
      </w:r>
      <w:r w:rsidR="00ED3B6A">
        <w:rPr>
          <w:rStyle w:val="BoldpoudarekUMAR"/>
        </w:rPr>
        <w:t>cev</w:t>
      </w:r>
      <w:r w:rsidRPr="00A56F0F">
        <w:rPr>
          <w:rStyle w:val="BoldpoudarekUMAR"/>
        </w:rPr>
        <w:t xml:space="preserve"> do leta 2100</w:t>
      </w:r>
      <w:r w:rsidR="004454E9" w:rsidRPr="00A56F0F">
        <w:rPr>
          <w:rStyle w:val="BoldpoudarekUMAR"/>
        </w:rPr>
        <w:t xml:space="preserve">. </w:t>
      </w:r>
      <w:r w:rsidR="006C5CED" w:rsidRPr="00725DE2">
        <w:rPr>
          <w:rStyle w:val="BoldpoudarekUMAR"/>
        </w:rPr>
        <w:t>P</w:t>
      </w:r>
      <w:r w:rsidR="006C5CED">
        <w:rPr>
          <w:rStyle w:val="BoldpoudarekUMAR"/>
        </w:rPr>
        <w:t>rojekcije p</w:t>
      </w:r>
      <w:r w:rsidR="006C5CED" w:rsidRPr="00725DE2">
        <w:rPr>
          <w:rStyle w:val="BoldpoudarekUMAR"/>
        </w:rPr>
        <w:t xml:space="preserve">omenijo predviden prihodnji </w:t>
      </w:r>
      <w:r w:rsidR="00ED3B6A">
        <w:rPr>
          <w:rStyle w:val="BoldpoudarekUMAR"/>
        </w:rPr>
        <w:t xml:space="preserve">demografski </w:t>
      </w:r>
      <w:r w:rsidR="006C5CED" w:rsidRPr="00725DE2">
        <w:rPr>
          <w:rStyle w:val="BoldpoudarekUMAR"/>
        </w:rPr>
        <w:t>razvoj ob določenih predpostavkah in ne predstavljajo napovedi</w:t>
      </w:r>
      <w:r w:rsidR="006C5CED">
        <w:rPr>
          <w:rStyle w:val="BoldpoudarekUMAR"/>
        </w:rPr>
        <w:t>, pomembne pa</w:t>
      </w:r>
      <w:r w:rsidR="006C5CED" w:rsidRPr="00A56F0F">
        <w:rPr>
          <w:rStyle w:val="BoldpoudarekUMAR"/>
        </w:rPr>
        <w:t xml:space="preserve"> </w:t>
      </w:r>
      <w:r w:rsidR="004454E9" w:rsidRPr="00A56F0F">
        <w:rPr>
          <w:rStyle w:val="BoldpoudarekUMAR"/>
        </w:rPr>
        <w:t>so</w:t>
      </w:r>
      <w:r w:rsidR="007D4259">
        <w:rPr>
          <w:rStyle w:val="BoldpoudarekUMAR"/>
        </w:rPr>
        <w:t xml:space="preserve"> </w:t>
      </w:r>
      <w:r w:rsidR="004454E9" w:rsidRPr="00A56F0F">
        <w:rPr>
          <w:rStyle w:val="BoldpoudarekUMAR"/>
        </w:rPr>
        <w:t xml:space="preserve">predvsem z vidika analiziranja izzivov, ki jih povzroča spreminjanje </w:t>
      </w:r>
      <w:r w:rsidR="00476698">
        <w:rPr>
          <w:rStyle w:val="BoldpoudarekUMAR"/>
        </w:rPr>
        <w:t xml:space="preserve">starostne </w:t>
      </w:r>
      <w:r w:rsidR="004454E9" w:rsidRPr="00A56F0F">
        <w:rPr>
          <w:rStyle w:val="BoldpoudarekUMAR"/>
        </w:rPr>
        <w:t xml:space="preserve">strukture prebivalcev in uvajanja potrebnih </w:t>
      </w:r>
      <w:r w:rsidR="00E834A3">
        <w:rPr>
          <w:rStyle w:val="BoldpoudarekUMAR"/>
        </w:rPr>
        <w:t>ter</w:t>
      </w:r>
      <w:r w:rsidR="006C5CED">
        <w:rPr>
          <w:rStyle w:val="BoldpoudarekUMAR"/>
        </w:rPr>
        <w:t xml:space="preserve"> pravočasnih </w:t>
      </w:r>
      <w:r w:rsidR="004454E9" w:rsidRPr="00A56F0F">
        <w:rPr>
          <w:rStyle w:val="BoldpoudarekUMAR"/>
        </w:rPr>
        <w:t xml:space="preserve">odzivov politik in prilagoditev sistemov. </w:t>
      </w:r>
      <w:r w:rsidRPr="00A56F0F">
        <w:rPr>
          <w:rStyle w:val="BoldpoudarekUMAR"/>
        </w:rPr>
        <w:t xml:space="preserve">V Sloveniji naj bi </w:t>
      </w:r>
      <w:r w:rsidR="00E67CB0">
        <w:rPr>
          <w:rStyle w:val="BoldpoudarekUMAR"/>
        </w:rPr>
        <w:t xml:space="preserve">glede na osnovno projekcijo </w:t>
      </w:r>
      <w:r w:rsidRPr="00A56F0F">
        <w:rPr>
          <w:rStyle w:val="BoldpoudarekUMAR"/>
        </w:rPr>
        <w:t xml:space="preserve">leta 2100 </w:t>
      </w:r>
      <w:r w:rsidR="002D679D">
        <w:rPr>
          <w:rStyle w:val="BoldpoudarekUMAR"/>
        </w:rPr>
        <w:t>živelo</w:t>
      </w:r>
      <w:r w:rsidRPr="00A56F0F">
        <w:rPr>
          <w:rStyle w:val="BoldpoudarekUMAR"/>
        </w:rPr>
        <w:t xml:space="preserve"> </w:t>
      </w:r>
      <w:r w:rsidR="00571C28" w:rsidRPr="00A56F0F">
        <w:rPr>
          <w:rStyle w:val="BoldpoudarekUMAR"/>
        </w:rPr>
        <w:t>1</w:t>
      </w:r>
      <w:r w:rsidR="003A5CAC">
        <w:rPr>
          <w:rStyle w:val="BoldpoudarekUMAR"/>
        </w:rPr>
        <w:t>.</w:t>
      </w:r>
      <w:r w:rsidR="00571C28" w:rsidRPr="00A56F0F">
        <w:rPr>
          <w:rStyle w:val="BoldpoudarekUMAR"/>
        </w:rPr>
        <w:t>95</w:t>
      </w:r>
      <w:r w:rsidR="003A5CAC">
        <w:rPr>
          <w:rStyle w:val="BoldpoudarekUMAR"/>
        </w:rPr>
        <w:t>0.820</w:t>
      </w:r>
      <w:r w:rsidR="00571C28">
        <w:rPr>
          <w:rStyle w:val="BoldpoudarekUMAR"/>
        </w:rPr>
        <w:t xml:space="preserve"> prebivalcev, kar je </w:t>
      </w:r>
      <w:r w:rsidRPr="00A56F0F">
        <w:rPr>
          <w:rStyle w:val="BoldpoudarekUMAR"/>
        </w:rPr>
        <w:t>156 tisoč</w:t>
      </w:r>
      <w:r w:rsidR="00AC73D9">
        <w:rPr>
          <w:rStyle w:val="BoldpoudarekUMAR"/>
        </w:rPr>
        <w:t xml:space="preserve"> </w:t>
      </w:r>
      <w:r w:rsidRPr="00A56F0F">
        <w:rPr>
          <w:rStyle w:val="BoldpoudarekUMAR"/>
        </w:rPr>
        <w:t xml:space="preserve">manj kot leta 2022. Število prebivalcev naj bi se povečevalo le še do leta 2026, nato pa naj bi prihodnjih 20 let </w:t>
      </w:r>
      <w:r w:rsidR="00004A67">
        <w:rPr>
          <w:rStyle w:val="BoldpoudarekUMAR"/>
        </w:rPr>
        <w:t xml:space="preserve">že </w:t>
      </w:r>
      <w:r w:rsidRPr="00D42842">
        <w:rPr>
          <w:rStyle w:val="BoldpoudarekUMAR"/>
        </w:rPr>
        <w:t>malenkost upadalo. Nekoliko</w:t>
      </w:r>
      <w:r w:rsidRPr="00A56F0F">
        <w:rPr>
          <w:rStyle w:val="BoldpoudarekUMAR"/>
        </w:rPr>
        <w:t xml:space="preserve"> hitrejše upadanje se predvideva okoli leta 2045, ko naj bi se odrazil največji vpliv staranja prebivalce</w:t>
      </w:r>
      <w:r w:rsidRPr="00E0613C">
        <w:rPr>
          <w:rStyle w:val="BoldpoudarekUMAR"/>
        </w:rPr>
        <w:t>v</w:t>
      </w:r>
      <w:r w:rsidR="00E67CB0" w:rsidRPr="00E0613C">
        <w:rPr>
          <w:rStyle w:val="BoldpoudarekUMAR"/>
        </w:rPr>
        <w:t xml:space="preserve"> </w:t>
      </w:r>
      <w:r w:rsidR="009403EF" w:rsidRPr="00E0613C">
        <w:rPr>
          <w:rStyle w:val="BoldpoudarekUMAR"/>
        </w:rPr>
        <w:t>(</w:t>
      </w:r>
      <w:r w:rsidR="00E67CB0" w:rsidRPr="00E0613C">
        <w:rPr>
          <w:rStyle w:val="BoldpoudarekUMAR"/>
        </w:rPr>
        <w:t>z vidika</w:t>
      </w:r>
      <w:r w:rsidR="006C5CED" w:rsidRPr="00E0613C">
        <w:rPr>
          <w:rStyle w:val="BoldpoudarekUMAR"/>
        </w:rPr>
        <w:t xml:space="preserve"> naraščanja koeficienta starostne odvisnosti</w:t>
      </w:r>
      <w:r w:rsidR="00E0613C" w:rsidRPr="007E0D40">
        <w:rPr>
          <w:rStyle w:val="BoldpoudarekUMAR"/>
        </w:rPr>
        <w:t xml:space="preserve"> </w:t>
      </w:r>
      <w:r w:rsidR="00E0613C" w:rsidRPr="00E121F8">
        <w:rPr>
          <w:rStyle w:val="BoldpoudarekUMAR"/>
        </w:rPr>
        <w:t>star</w:t>
      </w:r>
      <w:r w:rsidR="00BD3673" w:rsidRPr="00E121F8">
        <w:rPr>
          <w:rStyle w:val="BoldpoudarekUMAR"/>
        </w:rPr>
        <w:t>ejših</w:t>
      </w:r>
      <w:r w:rsidR="006C5CED" w:rsidRPr="00E121F8">
        <w:rPr>
          <w:rStyle w:val="BoldpoudarekUMAR"/>
        </w:rPr>
        <w:t>,</w:t>
      </w:r>
      <w:r w:rsidR="006C5CED" w:rsidRPr="00E0613C">
        <w:rPr>
          <w:rStyle w:val="BoldpoudarekUMAR"/>
        </w:rPr>
        <w:t xml:space="preserve"> povečevanja </w:t>
      </w:r>
      <w:r w:rsidR="0056153F">
        <w:rPr>
          <w:rStyle w:val="BoldpoudarekUMAR"/>
        </w:rPr>
        <w:t xml:space="preserve">njihovega </w:t>
      </w:r>
      <w:r w:rsidR="006C5CED" w:rsidRPr="00E0613C">
        <w:rPr>
          <w:rStyle w:val="BoldpoudarekUMAR"/>
        </w:rPr>
        <w:t xml:space="preserve">deleža </w:t>
      </w:r>
      <w:r w:rsidR="009403EF" w:rsidRPr="007E0D40">
        <w:rPr>
          <w:rStyle w:val="BoldpoudarekUMAR"/>
        </w:rPr>
        <w:t>ipd.)</w:t>
      </w:r>
      <w:r w:rsidR="006B6AC4" w:rsidRPr="007E0D40">
        <w:rPr>
          <w:rStyle w:val="BoldpoudarekUMAR"/>
        </w:rPr>
        <w:t>.</w:t>
      </w:r>
      <w:r w:rsidR="00242B94">
        <w:rPr>
          <w:rStyle w:val="BoldpoudarekUMAR"/>
        </w:rPr>
        <w:t xml:space="preserve"> </w:t>
      </w:r>
      <w:r w:rsidR="00E67CB0" w:rsidRPr="00C54F45">
        <w:rPr>
          <w:rStyle w:val="BoldpoudarekUMAR"/>
        </w:rPr>
        <w:t>Poveč</w:t>
      </w:r>
      <w:r w:rsidR="00C54F45" w:rsidRPr="007E0D40">
        <w:rPr>
          <w:rStyle w:val="BoldpoudarekUMAR"/>
        </w:rPr>
        <w:t>ev</w:t>
      </w:r>
      <w:r w:rsidR="00E67CB0" w:rsidRPr="00C54F45">
        <w:rPr>
          <w:rStyle w:val="BoldpoudarekUMAR"/>
        </w:rPr>
        <w:t xml:space="preserve">anje </w:t>
      </w:r>
      <w:r w:rsidR="00F44A1E" w:rsidRPr="00C54F45">
        <w:rPr>
          <w:rStyle w:val="BoldpoudarekUMAR"/>
        </w:rPr>
        <w:t xml:space="preserve">razmerja med starejšimi </w:t>
      </w:r>
      <w:r w:rsidR="00E67CB0" w:rsidRPr="00C54F45">
        <w:rPr>
          <w:rStyle w:val="BoldpoudarekUMAR"/>
        </w:rPr>
        <w:t xml:space="preserve">od 65 let </w:t>
      </w:r>
      <w:r w:rsidR="00F44A1E" w:rsidRPr="00C54F45">
        <w:rPr>
          <w:rStyle w:val="BoldpoudarekUMAR"/>
        </w:rPr>
        <w:t xml:space="preserve">in </w:t>
      </w:r>
      <w:r w:rsidR="00E67CB0" w:rsidRPr="00C54F45">
        <w:rPr>
          <w:rStyle w:val="BoldpoudarekUMAR"/>
        </w:rPr>
        <w:t xml:space="preserve">prebivalci v starosti </w:t>
      </w:r>
      <w:r w:rsidR="001A3F1B" w:rsidRPr="00C54F45">
        <w:rPr>
          <w:rStyle w:val="BoldpoudarekUMAR"/>
        </w:rPr>
        <w:t>20–</w:t>
      </w:r>
      <w:r w:rsidR="00E67CB0" w:rsidRPr="00C54F45">
        <w:rPr>
          <w:rStyle w:val="BoldpoudarekUMAR"/>
        </w:rPr>
        <w:t>64 let (t.</w:t>
      </w:r>
      <w:r w:rsidR="001A3F1B" w:rsidRPr="00C54F45">
        <w:rPr>
          <w:rStyle w:val="BoldpoudarekUMAR"/>
        </w:rPr>
        <w:t> </w:t>
      </w:r>
      <w:r w:rsidR="00E67CB0" w:rsidRPr="00C54F45">
        <w:rPr>
          <w:rStyle w:val="BoldpoudarekUMAR"/>
        </w:rPr>
        <w:t xml:space="preserve">i. </w:t>
      </w:r>
      <w:r w:rsidR="00F44A1E" w:rsidRPr="00C54F45">
        <w:rPr>
          <w:rStyle w:val="BoldpoudarekUMAR"/>
        </w:rPr>
        <w:t>delovno sposobnimi</w:t>
      </w:r>
      <w:r w:rsidR="00E67CB0" w:rsidRPr="00C54F45">
        <w:rPr>
          <w:rStyle w:val="BoldpoudarekUMAR"/>
        </w:rPr>
        <w:t xml:space="preserve">), ki je </w:t>
      </w:r>
      <w:r w:rsidR="001A3F1B" w:rsidRPr="00C54F45">
        <w:rPr>
          <w:rStyle w:val="BoldpoudarekUMAR"/>
        </w:rPr>
        <w:t>močnejše</w:t>
      </w:r>
      <w:r w:rsidR="00E67CB0" w:rsidRPr="00C54F45">
        <w:rPr>
          <w:rStyle w:val="BoldpoudarekUMAR"/>
        </w:rPr>
        <w:t xml:space="preserve"> od leta </w:t>
      </w:r>
      <w:r w:rsidR="001A3F1B" w:rsidRPr="00C54F45">
        <w:rPr>
          <w:rStyle w:val="BoldpoudarekUMAR"/>
        </w:rPr>
        <w:t>2012</w:t>
      </w:r>
      <w:r w:rsidR="00E67CB0" w:rsidRPr="00C54F45">
        <w:rPr>
          <w:rStyle w:val="BoldpoudarekUMAR"/>
        </w:rPr>
        <w:t>,</w:t>
      </w:r>
      <w:r w:rsidR="007D4259" w:rsidRPr="00C54F45">
        <w:rPr>
          <w:rStyle w:val="BoldpoudarekUMAR"/>
        </w:rPr>
        <w:t xml:space="preserve"> </w:t>
      </w:r>
      <w:r w:rsidR="00F44A1E" w:rsidRPr="00C54F45">
        <w:rPr>
          <w:rStyle w:val="BoldpoudarekUMAR"/>
        </w:rPr>
        <w:t>bo</w:t>
      </w:r>
      <w:r w:rsidR="00F44A1E" w:rsidRPr="00A56F0F">
        <w:rPr>
          <w:rStyle w:val="BoldpoudarekUMAR"/>
        </w:rPr>
        <w:t xml:space="preserve"> v prihodnjih letih še intenzivnejše</w:t>
      </w:r>
      <w:r w:rsidR="008E3B5D">
        <w:rPr>
          <w:rStyle w:val="BoldpoudarekUMAR"/>
        </w:rPr>
        <w:t>, saj so starejši edina skupina prebivalcev, kater</w:t>
      </w:r>
      <w:r w:rsidR="00AB3EBD">
        <w:rPr>
          <w:rStyle w:val="BoldpoudarekUMAR"/>
        </w:rPr>
        <w:t>ih</w:t>
      </w:r>
      <w:r w:rsidR="008E3B5D">
        <w:rPr>
          <w:rStyle w:val="BoldpoudarekUMAR"/>
        </w:rPr>
        <w:t xml:space="preserve"> število se bo povečalo</w:t>
      </w:r>
      <w:r w:rsidR="00F44A1E" w:rsidRPr="00A56F0F">
        <w:rPr>
          <w:rStyle w:val="BoldpoudarekUMAR"/>
        </w:rPr>
        <w:t xml:space="preserve">. </w:t>
      </w:r>
    </w:p>
    <w:p w14:paraId="1190026D" w14:textId="77777777" w:rsidR="00F44A1E" w:rsidRDefault="00F44A1E" w:rsidP="00302F8E">
      <w:pPr>
        <w:pStyle w:val="BesediloUMAR"/>
        <w:rPr>
          <w:rStyle w:val="BoldpoudarekUMAR"/>
        </w:rPr>
      </w:pPr>
    </w:p>
    <w:p w14:paraId="3FEF924C" w14:textId="2CDB944B" w:rsidR="004B6C92" w:rsidRDefault="003927B3" w:rsidP="00302F8E">
      <w:pPr>
        <w:pStyle w:val="BesediloUMAR"/>
        <w:rPr>
          <w:rStyle w:val="BoldpoudarekUMAR"/>
        </w:rPr>
      </w:pPr>
      <w:r w:rsidRPr="00A56F0F">
        <w:rPr>
          <w:rStyle w:val="BoldpoudarekUMAR"/>
        </w:rPr>
        <w:t xml:space="preserve">Projekcija </w:t>
      </w:r>
      <w:r w:rsidR="00E67CB0">
        <w:rPr>
          <w:rStyle w:val="BoldpoudarekUMAR"/>
        </w:rPr>
        <w:t>predpostavlja</w:t>
      </w:r>
      <w:r w:rsidRPr="00A56F0F">
        <w:rPr>
          <w:rStyle w:val="BoldpoudarekUMAR"/>
        </w:rPr>
        <w:t xml:space="preserve"> povečanje stopnje rodnosti, vendar se bo ob zmanjševanju števila žensk v rodni dobi </w:t>
      </w:r>
      <w:r w:rsidR="006C5CED">
        <w:rPr>
          <w:rStyle w:val="BoldpoudarekUMAR"/>
        </w:rPr>
        <w:t xml:space="preserve">v prihodnje </w:t>
      </w:r>
      <w:r w:rsidRPr="00A56F0F">
        <w:rPr>
          <w:rStyle w:val="BoldpoudarekUMAR"/>
        </w:rPr>
        <w:t xml:space="preserve">rodilo manj otrok. Pričakovano trajanje življenja </w:t>
      </w:r>
      <w:r w:rsidR="006C5CED">
        <w:rPr>
          <w:rStyle w:val="BoldpoudarekUMAR"/>
        </w:rPr>
        <w:t xml:space="preserve">naj bi </w:t>
      </w:r>
      <w:r w:rsidRPr="00A56F0F">
        <w:rPr>
          <w:rStyle w:val="BoldpoudarekUMAR"/>
        </w:rPr>
        <w:t>se</w:t>
      </w:r>
      <w:r w:rsidR="006C5CED">
        <w:rPr>
          <w:rStyle w:val="BoldpoudarekUMAR"/>
        </w:rPr>
        <w:t xml:space="preserve"> </w:t>
      </w:r>
      <w:r w:rsidRPr="00A56F0F">
        <w:rPr>
          <w:rStyle w:val="BoldpoudarekUMAR"/>
        </w:rPr>
        <w:t>še podaljševalo</w:t>
      </w:r>
      <w:r w:rsidR="000804F5">
        <w:rPr>
          <w:rStyle w:val="BoldpoudarekUMAR"/>
        </w:rPr>
        <w:t>;</w:t>
      </w:r>
      <w:r w:rsidRPr="00A56F0F">
        <w:rPr>
          <w:rStyle w:val="BoldpoudarekUMAR"/>
        </w:rPr>
        <w:t xml:space="preserve"> pri moških, kjer je nižje, nekoliko hitreje kot pri ženskah. Leta 2100 </w:t>
      </w:r>
      <w:r w:rsidR="00F10D1C">
        <w:rPr>
          <w:rStyle w:val="BoldpoudarekUMAR"/>
        </w:rPr>
        <w:t>rojena deklica bi</w:t>
      </w:r>
      <w:r w:rsidRPr="00A56F0F">
        <w:rPr>
          <w:rStyle w:val="BoldpoudarekUMAR"/>
        </w:rPr>
        <w:t xml:space="preserve"> ob rojstvu lahko pričakoval</w:t>
      </w:r>
      <w:r w:rsidR="00F10D1C">
        <w:rPr>
          <w:rStyle w:val="BoldpoudarekUMAR"/>
        </w:rPr>
        <w:t>a</w:t>
      </w:r>
      <w:r w:rsidRPr="00A56F0F">
        <w:rPr>
          <w:rStyle w:val="BoldpoudarekUMAR"/>
        </w:rPr>
        <w:t xml:space="preserve"> 93,3 let</w:t>
      </w:r>
      <w:r w:rsidR="00682391">
        <w:rPr>
          <w:rStyle w:val="BoldpoudarekUMAR"/>
        </w:rPr>
        <w:t>a</w:t>
      </w:r>
      <w:r w:rsidRPr="00A56F0F">
        <w:rPr>
          <w:rStyle w:val="BoldpoudarekUMAR"/>
        </w:rPr>
        <w:t xml:space="preserve"> življenja</w:t>
      </w:r>
      <w:r w:rsidR="008E0329">
        <w:rPr>
          <w:rStyle w:val="BoldpoudarekUMAR"/>
        </w:rPr>
        <w:t xml:space="preserve"> (8,9 leta več kot leta 2022)</w:t>
      </w:r>
      <w:r w:rsidRPr="00A56F0F">
        <w:rPr>
          <w:rStyle w:val="BoldpoudarekUMAR"/>
        </w:rPr>
        <w:t xml:space="preserve">, </w:t>
      </w:r>
      <w:r w:rsidR="00F10D1C">
        <w:rPr>
          <w:rStyle w:val="BoldpoudarekUMAR"/>
        </w:rPr>
        <w:t>deček</w:t>
      </w:r>
      <w:r w:rsidRPr="00A56F0F">
        <w:rPr>
          <w:rStyle w:val="BoldpoudarekUMAR"/>
        </w:rPr>
        <w:t xml:space="preserve"> pa 89,4 let</w:t>
      </w:r>
      <w:r w:rsidR="00682391">
        <w:rPr>
          <w:rStyle w:val="BoldpoudarekUMAR"/>
        </w:rPr>
        <w:t>a</w:t>
      </w:r>
      <w:r w:rsidR="008E0329">
        <w:rPr>
          <w:rStyle w:val="BoldpoudarekUMAR"/>
        </w:rPr>
        <w:t xml:space="preserve"> (10,9 </w:t>
      </w:r>
      <w:r w:rsidR="008E0329" w:rsidRPr="00736E20">
        <w:rPr>
          <w:rStyle w:val="BoldpoudarekUMAR"/>
        </w:rPr>
        <w:t>let</w:t>
      </w:r>
      <w:r w:rsidR="00736E20">
        <w:rPr>
          <w:rStyle w:val="BoldpoudarekUMAR"/>
        </w:rPr>
        <w:t>a</w:t>
      </w:r>
      <w:r w:rsidR="008E0329">
        <w:rPr>
          <w:rStyle w:val="BoldpoudarekUMAR"/>
        </w:rPr>
        <w:t xml:space="preserve"> več)</w:t>
      </w:r>
      <w:r w:rsidRPr="00A56F0F">
        <w:rPr>
          <w:rStyle w:val="BoldpoudarekUMAR"/>
        </w:rPr>
        <w:t>. Projekcij</w:t>
      </w:r>
      <w:r w:rsidR="006C5CED">
        <w:rPr>
          <w:rStyle w:val="BoldpoudarekUMAR"/>
        </w:rPr>
        <w:t>a</w:t>
      </w:r>
      <w:r w:rsidRPr="00A56F0F">
        <w:rPr>
          <w:rStyle w:val="BoldpoudarekUMAR"/>
        </w:rPr>
        <w:t xml:space="preserve"> </w:t>
      </w:r>
      <w:r w:rsidR="006C5CED">
        <w:rPr>
          <w:rStyle w:val="BoldpoudarekUMAR"/>
        </w:rPr>
        <w:t>predpostavlja</w:t>
      </w:r>
      <w:r w:rsidRPr="00A56F0F">
        <w:rPr>
          <w:rStyle w:val="BoldpoudarekUMAR"/>
        </w:rPr>
        <w:t xml:space="preserve">, da se bo v Slovenijo vsako leto v povprečju priselilo okoli 6 tisoč ljudi več, kot se jih bo iz nje izselilo. </w:t>
      </w:r>
      <w:r w:rsidR="00CA60A6" w:rsidRPr="00A56F0F">
        <w:rPr>
          <w:rStyle w:val="BoldpoudarekUMAR"/>
        </w:rPr>
        <w:t>To je</w:t>
      </w:r>
      <w:r w:rsidR="00330B74">
        <w:rPr>
          <w:rStyle w:val="BoldpoudarekUMAR"/>
        </w:rPr>
        <w:t xml:space="preserve"> v </w:t>
      </w:r>
      <w:r w:rsidR="00BD5CC4">
        <w:rPr>
          <w:rStyle w:val="BoldpoudarekUMAR"/>
        </w:rPr>
        <w:t xml:space="preserve">letnem </w:t>
      </w:r>
      <w:r w:rsidR="00330B74">
        <w:rPr>
          <w:rStyle w:val="BoldpoudarekUMAR"/>
        </w:rPr>
        <w:t xml:space="preserve">povprečju </w:t>
      </w:r>
      <w:r w:rsidR="00E95370">
        <w:rPr>
          <w:rStyle w:val="BoldpoudarekUMAR"/>
        </w:rPr>
        <w:t>le malo (63</w:t>
      </w:r>
      <w:r w:rsidR="007E512A">
        <w:rPr>
          <w:rStyle w:val="BoldpoudarekUMAR"/>
        </w:rPr>
        <w:t xml:space="preserve">8 </w:t>
      </w:r>
      <w:r w:rsidR="00E95370">
        <w:rPr>
          <w:rStyle w:val="BoldpoudarekUMAR"/>
        </w:rPr>
        <w:t xml:space="preserve">ljudi) </w:t>
      </w:r>
      <w:r w:rsidR="00CA60A6" w:rsidRPr="00A56F0F">
        <w:rPr>
          <w:rStyle w:val="BoldpoudarekUMAR"/>
        </w:rPr>
        <w:t xml:space="preserve">več kot </w:t>
      </w:r>
      <w:r w:rsidR="00330B74">
        <w:rPr>
          <w:rStyle w:val="BoldpoudarekUMAR"/>
        </w:rPr>
        <w:t>v</w:t>
      </w:r>
      <w:r w:rsidRPr="00A56F0F">
        <w:rPr>
          <w:rStyle w:val="BoldpoudarekUMAR"/>
        </w:rPr>
        <w:t xml:space="preserve"> obdobj</w:t>
      </w:r>
      <w:r w:rsidR="00330B74">
        <w:rPr>
          <w:rStyle w:val="BoldpoudarekUMAR"/>
        </w:rPr>
        <w:t>u</w:t>
      </w:r>
      <w:r w:rsidRPr="00A56F0F">
        <w:rPr>
          <w:rStyle w:val="BoldpoudarekUMAR"/>
        </w:rPr>
        <w:t xml:space="preserve"> 1995–202</w:t>
      </w:r>
      <w:r w:rsidR="00C31074">
        <w:rPr>
          <w:rStyle w:val="BoldpoudarekUMAR"/>
        </w:rPr>
        <w:t>2</w:t>
      </w:r>
      <w:r w:rsidRPr="00A56F0F">
        <w:rPr>
          <w:rStyle w:val="BoldpoudarekUMAR"/>
        </w:rPr>
        <w:t>.</w:t>
      </w:r>
      <w:r w:rsidR="00FC4A04" w:rsidRPr="00A56F0F">
        <w:rPr>
          <w:rStyle w:val="BoldpoudarekUMAR"/>
        </w:rPr>
        <w:t xml:space="preserve"> </w:t>
      </w:r>
    </w:p>
    <w:p w14:paraId="08B8FCAA" w14:textId="77777777" w:rsidR="004B6C92" w:rsidRDefault="004B6C92" w:rsidP="00302F8E">
      <w:pPr>
        <w:pStyle w:val="BesediloUMAR"/>
        <w:rPr>
          <w:rStyle w:val="BoldpoudarekUMAR"/>
        </w:rPr>
      </w:pPr>
    </w:p>
    <w:p w14:paraId="07D59523" w14:textId="4347F1BC" w:rsidR="003927B3" w:rsidRPr="00A56F0F" w:rsidRDefault="006F4874" w:rsidP="00302F8E">
      <w:pPr>
        <w:pStyle w:val="BesediloUMAR"/>
        <w:rPr>
          <w:rStyle w:val="BoldpoudarekUMAR"/>
        </w:rPr>
      </w:pPr>
      <w:r w:rsidRPr="00A56F0F">
        <w:rPr>
          <w:rStyle w:val="BoldpoudarekUMAR"/>
        </w:rPr>
        <w:t>Testi občutljivosti</w:t>
      </w:r>
      <w:r w:rsidR="000E4F9F">
        <w:rPr>
          <w:rStyle w:val="BoldpoudarekUMAR"/>
        </w:rPr>
        <w:t xml:space="preserve"> </w:t>
      </w:r>
      <w:r w:rsidR="00E67CB0">
        <w:rPr>
          <w:rStyle w:val="BoldpoudarekUMAR"/>
        </w:rPr>
        <w:t>na spremembe nekaterih ključnih predpostavk</w:t>
      </w:r>
      <w:r w:rsidRPr="00A56F0F">
        <w:rPr>
          <w:rStyle w:val="BoldpoudarekUMAR"/>
        </w:rPr>
        <w:t xml:space="preserve"> kažejo, da imata n</w:t>
      </w:r>
      <w:r w:rsidR="003927B3" w:rsidRPr="00A56F0F">
        <w:rPr>
          <w:rStyle w:val="BoldpoudarekUMAR"/>
        </w:rPr>
        <w:t>ajvečji učinek na povečanje števila prebivalcev v primerjavi z osnovnim scenarijem povečanje selitvenega prirasta</w:t>
      </w:r>
      <w:r w:rsidR="00302F8E" w:rsidRPr="00A56F0F">
        <w:rPr>
          <w:rStyle w:val="BoldpoudarekUMAR"/>
        </w:rPr>
        <w:t xml:space="preserve"> </w:t>
      </w:r>
      <w:r w:rsidR="003927B3" w:rsidRPr="00A56F0F">
        <w:rPr>
          <w:rStyle w:val="BoldpoudarekUMAR"/>
        </w:rPr>
        <w:t xml:space="preserve">in </w:t>
      </w:r>
      <w:r w:rsidR="00E1630F">
        <w:rPr>
          <w:rStyle w:val="BoldpoudarekUMAR"/>
        </w:rPr>
        <w:t>nižja umrljivost</w:t>
      </w:r>
      <w:r w:rsidR="003927B3" w:rsidRPr="00A56F0F">
        <w:rPr>
          <w:rStyle w:val="BoldpoudarekUMAR"/>
        </w:rPr>
        <w:t xml:space="preserve">. Leta 2100 bi tako v Sloveniji ob višjem selitvenem prirastu živelo 331 tisoč več prebivalcev </w:t>
      </w:r>
      <w:r w:rsidR="004B6C92">
        <w:rPr>
          <w:rStyle w:val="BoldpoudarekUMAR"/>
        </w:rPr>
        <w:t>kot po</w:t>
      </w:r>
      <w:r w:rsidR="003927B3" w:rsidRPr="00A56F0F">
        <w:rPr>
          <w:rStyle w:val="BoldpoudarekUMAR"/>
        </w:rPr>
        <w:t xml:space="preserve"> osnovn</w:t>
      </w:r>
      <w:r w:rsidR="004B6C92">
        <w:rPr>
          <w:rStyle w:val="BoldpoudarekUMAR"/>
        </w:rPr>
        <w:t>em</w:t>
      </w:r>
      <w:r w:rsidR="003927B3" w:rsidRPr="00A56F0F">
        <w:rPr>
          <w:rStyle w:val="BoldpoudarekUMAR"/>
        </w:rPr>
        <w:t xml:space="preserve"> scenarij</w:t>
      </w:r>
      <w:r w:rsidR="004B6C92">
        <w:rPr>
          <w:rStyle w:val="BoldpoudarekUMAR"/>
        </w:rPr>
        <w:t>u</w:t>
      </w:r>
      <w:r w:rsidR="003927B3" w:rsidRPr="00A56F0F">
        <w:rPr>
          <w:rStyle w:val="BoldpoudarekUMAR"/>
        </w:rPr>
        <w:t xml:space="preserve">, </w:t>
      </w:r>
      <w:r w:rsidR="007A6E2F">
        <w:rPr>
          <w:rStyle w:val="BoldpoudarekUMAR"/>
        </w:rPr>
        <w:t>ob</w:t>
      </w:r>
      <w:r w:rsidR="003927B3" w:rsidRPr="00A56F0F">
        <w:rPr>
          <w:rStyle w:val="BoldpoudarekUMAR"/>
        </w:rPr>
        <w:t xml:space="preserve"> scenarij</w:t>
      </w:r>
      <w:r w:rsidR="007A6E2F">
        <w:rPr>
          <w:rStyle w:val="BoldpoudarekUMAR"/>
        </w:rPr>
        <w:t>u</w:t>
      </w:r>
      <w:r w:rsidR="003927B3" w:rsidRPr="00A56F0F">
        <w:rPr>
          <w:rStyle w:val="BoldpoudarekUMAR"/>
        </w:rPr>
        <w:t xml:space="preserve"> nižje umrljivosti pa 32 tisoč</w:t>
      </w:r>
      <w:r w:rsidR="007A6E2F">
        <w:rPr>
          <w:rStyle w:val="BoldpoudarekUMAR"/>
        </w:rPr>
        <w:t xml:space="preserve"> več</w:t>
      </w:r>
      <w:r w:rsidR="003927B3" w:rsidRPr="00A56F0F">
        <w:rPr>
          <w:rStyle w:val="BoldpoudarekUMAR"/>
        </w:rPr>
        <w:t>. Ob scenariju nižje rodnosti ali nižjega selitvenega prirasta bi Slovenija imela leta 2100 okoli 300 tisoč prebivalcev manj, ob scenariju brez selitvenega prirasta pa več kot pol milijona manj</w:t>
      </w:r>
      <w:r w:rsidR="004B6C92">
        <w:rPr>
          <w:rStyle w:val="BoldpoudarekUMAR"/>
        </w:rPr>
        <w:t xml:space="preserve"> kot v osnovni projekciji</w:t>
      </w:r>
      <w:r w:rsidR="003927B3" w:rsidRPr="00A56F0F">
        <w:rPr>
          <w:rStyle w:val="BoldpoudarekUMAR"/>
        </w:rPr>
        <w:t xml:space="preserve">. </w:t>
      </w:r>
    </w:p>
    <w:p w14:paraId="073D0FC0" w14:textId="63E552A6" w:rsidR="00407C0D" w:rsidRDefault="00407C0D" w:rsidP="00407C0D">
      <w:pPr>
        <w:pStyle w:val="BesediloUMAR"/>
      </w:pPr>
    </w:p>
    <w:p w14:paraId="6FA099F2" w14:textId="28BEEEDE" w:rsidR="00A13F2B" w:rsidRDefault="00A13F2B" w:rsidP="00407C0D">
      <w:pPr>
        <w:pStyle w:val="BesediloUMAR"/>
      </w:pPr>
    </w:p>
    <w:p w14:paraId="0734AB4A" w14:textId="77777777" w:rsidR="00D857C9" w:rsidRPr="00867618" w:rsidRDefault="00D857C9" w:rsidP="00407C0D">
      <w:pPr>
        <w:pStyle w:val="BesediloUMAR"/>
        <w:rPr>
          <w:rStyle w:val="BoldpoudarekUMAR"/>
          <w:sz w:val="40"/>
          <w:szCs w:val="40"/>
          <w:highlight w:val="green"/>
        </w:rPr>
      </w:pPr>
    </w:p>
    <w:p w14:paraId="4C91DCA4" w14:textId="38BEA1EC" w:rsidR="00481B30" w:rsidRDefault="0078485E" w:rsidP="00471713">
      <w:pPr>
        <w:pStyle w:val="Heading1"/>
      </w:pPr>
      <w:bookmarkStart w:id="15" w:name="_Toc146283009"/>
      <w:bookmarkEnd w:id="12"/>
      <w:bookmarkEnd w:id="11"/>
      <w:bookmarkEnd w:id="10"/>
      <w:r>
        <w:lastRenderedPageBreak/>
        <w:t>Uvod</w:t>
      </w:r>
      <w:bookmarkEnd w:id="15"/>
    </w:p>
    <w:p w14:paraId="12CA59A5" w14:textId="77777777" w:rsidR="00EE4F6C" w:rsidRDefault="00EE4F6C" w:rsidP="00A56AFA">
      <w:pPr>
        <w:pStyle w:val="BesediloUMAR"/>
        <w:rPr>
          <w:rStyle w:val="VodilnistavekUMAR"/>
        </w:rPr>
      </w:pPr>
    </w:p>
    <w:p w14:paraId="224A8708" w14:textId="244ECD54" w:rsidR="00545828" w:rsidRPr="00CA6B43" w:rsidRDefault="00F44B3D" w:rsidP="00CF1394">
      <w:pPr>
        <w:pStyle w:val="BesediloUMAR"/>
        <w:rPr>
          <w:highlight w:val="darkCyan"/>
        </w:rPr>
      </w:pPr>
      <w:r w:rsidRPr="00CF1394">
        <w:rPr>
          <w:rStyle w:val="BoldpoudarekUMAR"/>
        </w:rPr>
        <w:t xml:space="preserve">Eurostat je konec marca </w:t>
      </w:r>
      <w:r w:rsidR="00920851">
        <w:rPr>
          <w:rStyle w:val="BoldpoudarekUMAR"/>
        </w:rPr>
        <w:t xml:space="preserve">2023 </w:t>
      </w:r>
      <w:r w:rsidRPr="00CF1394">
        <w:rPr>
          <w:rStyle w:val="BoldpoudarekUMAR"/>
        </w:rPr>
        <w:t>objavil nove projekcije prebival</w:t>
      </w:r>
      <w:r w:rsidR="00ED3B6A">
        <w:rPr>
          <w:rStyle w:val="BoldpoudarekUMAR"/>
        </w:rPr>
        <w:t>cev</w:t>
      </w:r>
      <w:r w:rsidRPr="00CF1394">
        <w:rPr>
          <w:rStyle w:val="BoldpoudarekUMAR"/>
        </w:rPr>
        <w:t xml:space="preserve"> do leta 2100</w:t>
      </w:r>
      <w:r w:rsidR="0073354A">
        <w:rPr>
          <w:rStyle w:val="BoldpoudarekUMAR"/>
        </w:rPr>
        <w:t>, EUROPOP2023</w:t>
      </w:r>
      <w:r w:rsidRPr="00CF1394">
        <w:rPr>
          <w:rStyle w:val="BoldpoudarekUMAR"/>
        </w:rPr>
        <w:t>.</w:t>
      </w:r>
      <w:r w:rsidR="006B0F00" w:rsidRPr="006E7431">
        <w:rPr>
          <w:rStyle w:val="FootnoteReference"/>
        </w:rPr>
        <w:footnoteReference w:id="2"/>
      </w:r>
      <w:r w:rsidRPr="00CF1394">
        <w:t xml:space="preserve"> </w:t>
      </w:r>
      <w:r w:rsidR="00545828" w:rsidRPr="00CF1394">
        <w:t>To so osme Eurostatove projekcije prebiv</w:t>
      </w:r>
      <w:r w:rsidR="00545828" w:rsidRPr="00CB01DD">
        <w:t>alcev</w:t>
      </w:r>
      <w:r w:rsidR="00545828" w:rsidRPr="00CF1394">
        <w:t xml:space="preserve">, objavljene so bile </w:t>
      </w:r>
      <w:r w:rsidR="0073354A">
        <w:t xml:space="preserve">še </w:t>
      </w:r>
      <w:r w:rsidR="00545828" w:rsidRPr="00CF1394">
        <w:t>v letih 2004, 2008, 2010, 2013, 2015, 2018 in 2019</w:t>
      </w:r>
      <w:r w:rsidR="0073354A">
        <w:t>,</w:t>
      </w:r>
      <w:r w:rsidR="00545828" w:rsidRPr="00CF1394">
        <w:t xml:space="preserve"> in so prvič poimenovane po letu objave in ne po izhodiščem letu</w:t>
      </w:r>
      <w:r w:rsidR="006C5CED">
        <w:t>,</w:t>
      </w:r>
      <w:r w:rsidR="007D4259">
        <w:t xml:space="preserve"> </w:t>
      </w:r>
      <w:r w:rsidR="00B433CF">
        <w:t xml:space="preserve">tj. </w:t>
      </w:r>
      <w:r w:rsidR="006C5CED">
        <w:t xml:space="preserve">letu </w:t>
      </w:r>
      <w:r w:rsidR="00B433CF">
        <w:t>2022</w:t>
      </w:r>
      <w:r w:rsidR="00B93A1E" w:rsidRPr="006E7431">
        <w:rPr>
          <w:rStyle w:val="FootnoteReference"/>
        </w:rPr>
        <w:footnoteReference w:id="3"/>
      </w:r>
      <w:r w:rsidR="00B433CF">
        <w:t xml:space="preserve"> </w:t>
      </w:r>
      <w:r w:rsidR="007A7D4B" w:rsidRPr="00CF1394">
        <w:fldChar w:fldCharType="begin"/>
      </w:r>
      <w:r w:rsidR="00412DF0">
        <w:instrText xml:space="preserve"> ADDIN ZOTERO_ITEM CSL_CITATION {"citationID":"9t0X3MCy","properties":{"formattedCitation":"(Eurostat, 2023d)","plainCitation":"(Eurostat, 2023d)","noteIndex":0},"citationItems":[{"id":3755,"uris":["http://zotero.org/users/8040504/items/4QSF5FZ3"],"itemData":{"id":3755,"type":"document","publisher":"Eurostat","title":"Statisctics Explained. Population projections in the EU – methodology","URL":"https://ec.europa.eu/eurostat/statistics-explained/index.php?title=Population_projections_in_the_EU_-_methodology","author":[{"family":"Eurostat","given":""}],"issued":{"date-parts":[["2023"]]}}}],"schema":"https://github.com/citation-style-language/schema/raw/master/csl-citation.json"} </w:instrText>
      </w:r>
      <w:r w:rsidR="007A7D4B" w:rsidRPr="00CF1394">
        <w:fldChar w:fldCharType="separate"/>
      </w:r>
      <w:r w:rsidR="00412DF0" w:rsidRPr="00412DF0">
        <w:t>(Eurostat, 2023d)</w:t>
      </w:r>
      <w:r w:rsidR="007A7D4B" w:rsidRPr="00CF1394">
        <w:fldChar w:fldCharType="end"/>
      </w:r>
      <w:r w:rsidR="00545828" w:rsidRPr="00CF1394">
        <w:t xml:space="preserve">. </w:t>
      </w:r>
      <w:r w:rsidR="001A629C">
        <w:t xml:space="preserve">Projekcije so bile pripravljene </w:t>
      </w:r>
      <w:r w:rsidR="001A629C" w:rsidRPr="001A629C">
        <w:t xml:space="preserve">v sodelovanju z nacionalnimi statističnimi uradi </w:t>
      </w:r>
      <w:r w:rsidR="00725DE2">
        <w:t>in</w:t>
      </w:r>
      <w:r w:rsidR="00725DE2" w:rsidRPr="00CF1394">
        <w:rPr>
          <w:rStyle w:val="CommentReference"/>
          <w:sz w:val="20"/>
          <w:szCs w:val="22"/>
        </w:rPr>
        <w:t xml:space="preserve"> </w:t>
      </w:r>
      <w:r w:rsidR="00545828" w:rsidRPr="00CF1394">
        <w:t xml:space="preserve">zajemajo število prebivalcev po starosti in spolu, ključno pa jih določajo predpostavke o rodnosti, umrljivosti in selitvenem prirastu. Pomenijo predviden prihodnji </w:t>
      </w:r>
      <w:r w:rsidR="00ED3B6A">
        <w:t xml:space="preserve">demografski </w:t>
      </w:r>
      <w:r w:rsidR="00545828" w:rsidRPr="00CF1394">
        <w:t xml:space="preserve">razvoj ob določenih predpostavkah in ne predstavljajo napovedi. Ker so projekcije narejene za vse države EU </w:t>
      </w:r>
      <w:r w:rsidR="00920851">
        <w:t>ter</w:t>
      </w:r>
      <w:r w:rsidR="00545828" w:rsidRPr="00CF1394">
        <w:t xml:space="preserve"> Islandijo, Norveško in Švico, sledijo enotni metodologiji, hkrati pa upoštevajo predpostavko delne konvergence</w:t>
      </w:r>
      <w:r w:rsidR="00545828" w:rsidRPr="00CF1394">
        <w:rPr>
          <w:rStyle w:val="CommentReference"/>
          <w:sz w:val="20"/>
          <w:szCs w:val="22"/>
        </w:rPr>
        <w:t xml:space="preserve"> </w:t>
      </w:r>
      <w:r w:rsidR="00545828" w:rsidRPr="00CF1394">
        <w:t xml:space="preserve">pri scenariju razvoja rodnosti, umrljivosti in selitev. Ta temelji na ideji, da se bodo socioekonomske razlike med </w:t>
      </w:r>
      <w:r w:rsidR="00375C55" w:rsidRPr="00CF1394">
        <w:t>v projekcij</w:t>
      </w:r>
      <w:r w:rsidR="00375C55">
        <w:t>e</w:t>
      </w:r>
      <w:r w:rsidR="00375C55" w:rsidRPr="00CF1394">
        <w:t xml:space="preserve"> vključenimi </w:t>
      </w:r>
      <w:r w:rsidR="00545828" w:rsidRPr="00CF1394">
        <w:t>državami v daljšem obdobju zmanjšale in da si bodo po demografskih značilnostih sčasoma čedalje bolj podobne</w:t>
      </w:r>
      <w:r w:rsidR="00606612">
        <w:t xml:space="preserve"> </w:t>
      </w:r>
      <w:r w:rsidR="00606612">
        <w:fldChar w:fldCharType="begin"/>
      </w:r>
      <w:r w:rsidR="00412DF0">
        <w:instrText xml:space="preserve"> ADDIN ZOTERO_ITEM CSL_CITATION {"citationID":"bdGKLHZb","properties":{"formattedCitation":"(Eurostat, 2023d, 2023b; Razpotnik, 2023)","plainCitation":"(Eurostat, 2023d, 2023b; Razpotnik, 2023)","noteIndex":0},"citationItems":[{"id":3755,"uris":["http://zotero.org/users/8040504/items/4QSF5FZ3"],"itemData":{"id":3755,"type":"document","publisher":"Eurostat","title":"Statisctics Explained. Population projections in the EU – methodology","URL":"https://ec.europa.eu/eurostat/statistics-explained/index.php?title=Population_projections_in_the_EU_-_methodology","author":[{"family":"Eurostat","given":""}],"issued":{"date-parts":[["2023"]]}},"label":"page"},{"id":3709,"uris":["http://zotero.org/users/8040504/items/MJXW884X"],"itemData":{"id":3709,"type":"webpage","title":"Population and demography. Population projections","URL":"https://ec.europa.eu/eurostat/web/population-demography/population-projections/","author":[{"family":"Eurostat","given":""}],"issued":{"date-parts":[["2023"]]}},"label":"page"},{"id":3756,"uris":["http://zotero.org/users/8040504/items/JWDGR6GU"],"itemData":{"id":3756,"type":"document","title":"Projekcije prebivalstva EUROPOP2023 za Slovenijo. EUROPOP2023: projekcije za prihodnja desetletja predvidevajo nadaljnje staranje prebivalstva","URL":"https://www.stat.si/StatWeb/News/Index/11124","author":[{"family":"Razpotnik","given":"Barica"}],"issued":{"date-parts":[["2023"]]}},"label":"page"}],"schema":"https://github.com/citation-style-language/schema/raw/master/csl-citation.json"} </w:instrText>
      </w:r>
      <w:r w:rsidR="00606612">
        <w:fldChar w:fldCharType="separate"/>
      </w:r>
      <w:r w:rsidR="00412DF0" w:rsidRPr="00412DF0">
        <w:t>(Eurostat, 2023d, 2023b; Razpotnik, 2023)</w:t>
      </w:r>
      <w:r w:rsidR="00606612">
        <w:fldChar w:fldCharType="end"/>
      </w:r>
      <w:r w:rsidR="00606612">
        <w:t xml:space="preserve">. </w:t>
      </w:r>
      <w:r w:rsidR="00545828" w:rsidRPr="00CF1394">
        <w:t>Poleg osnovnega scenarija je Eurostat pripravil še pet testov občutljivosti.</w:t>
      </w:r>
      <w:r w:rsidR="00545828" w:rsidRPr="00CF1394">
        <w:rPr>
          <w:rStyle w:val="CommentReference"/>
          <w:sz w:val="20"/>
          <w:szCs w:val="22"/>
        </w:rPr>
        <w:t xml:space="preserve"> </w:t>
      </w:r>
    </w:p>
    <w:p w14:paraId="0B12834D" w14:textId="77777777" w:rsidR="00F44B3D" w:rsidRPr="00CF1394" w:rsidRDefault="00F44B3D" w:rsidP="00CF1394">
      <w:pPr>
        <w:pStyle w:val="BesediloUMAR"/>
      </w:pPr>
    </w:p>
    <w:p w14:paraId="4F08FA1C" w14:textId="3800C3C1" w:rsidR="002077D7" w:rsidRDefault="00C65F0E" w:rsidP="00A56AFA">
      <w:pPr>
        <w:pStyle w:val="BesediloUMAR"/>
        <w:rPr>
          <w:rStyle w:val="VodilnistavekUMAR"/>
          <w:b w:val="0"/>
        </w:rPr>
      </w:pPr>
      <w:r w:rsidRPr="00A56AFA">
        <w:rPr>
          <w:rStyle w:val="VodilnistavekUMAR"/>
        </w:rPr>
        <w:t>Projekcije prebival</w:t>
      </w:r>
      <w:r w:rsidR="00ED3B6A">
        <w:rPr>
          <w:rStyle w:val="VodilnistavekUMAR"/>
        </w:rPr>
        <w:t>cev</w:t>
      </w:r>
      <w:r w:rsidRPr="00A56AFA">
        <w:rPr>
          <w:rStyle w:val="VodilnistavekUMAR"/>
        </w:rPr>
        <w:t xml:space="preserve"> </w:t>
      </w:r>
      <w:r w:rsidR="00CD3B20">
        <w:rPr>
          <w:rStyle w:val="VodilnistavekUMAR"/>
        </w:rPr>
        <w:t>prikazujejo hipotetičn</w:t>
      </w:r>
      <w:r w:rsidR="00DC5F8A">
        <w:rPr>
          <w:rStyle w:val="VodilnistavekUMAR"/>
        </w:rPr>
        <w:t>o rast</w:t>
      </w:r>
      <w:r w:rsidR="00CD3B20">
        <w:rPr>
          <w:rStyle w:val="VodilnistavekUMAR"/>
        </w:rPr>
        <w:t xml:space="preserve"> </w:t>
      </w:r>
      <w:r w:rsidR="00267041">
        <w:rPr>
          <w:rStyle w:val="VodilnistavekUMAR"/>
        </w:rPr>
        <w:t>števila prebivalcev</w:t>
      </w:r>
      <w:r w:rsidR="006D05DA">
        <w:rPr>
          <w:rStyle w:val="VodilnistavekUMAR"/>
        </w:rPr>
        <w:t xml:space="preserve"> in </w:t>
      </w:r>
      <w:r w:rsidR="00267041">
        <w:rPr>
          <w:rStyle w:val="VodilnistavekUMAR"/>
        </w:rPr>
        <w:t>njihov</w:t>
      </w:r>
      <w:r w:rsidR="008F409F">
        <w:rPr>
          <w:rStyle w:val="VodilnistavekUMAR"/>
        </w:rPr>
        <w:t>o</w:t>
      </w:r>
      <w:r w:rsidR="00267041">
        <w:rPr>
          <w:rStyle w:val="VodilnistavekUMAR"/>
        </w:rPr>
        <w:t xml:space="preserve"> </w:t>
      </w:r>
      <w:r w:rsidR="00DC5F8A">
        <w:rPr>
          <w:rStyle w:val="VodilnistavekUMAR"/>
        </w:rPr>
        <w:t xml:space="preserve">starostno </w:t>
      </w:r>
      <w:r w:rsidR="00A53289">
        <w:rPr>
          <w:rStyle w:val="VodilnistavekUMAR"/>
        </w:rPr>
        <w:t xml:space="preserve">sestavo </w:t>
      </w:r>
      <w:r w:rsidR="00BE0E90">
        <w:rPr>
          <w:rStyle w:val="VodilnistavekUMAR"/>
        </w:rPr>
        <w:t>na dolgi rok</w:t>
      </w:r>
      <w:r w:rsidRPr="00A56AFA">
        <w:rPr>
          <w:rStyle w:val="VodilnistavekUMAR"/>
        </w:rPr>
        <w:t>.</w:t>
      </w:r>
      <w:r w:rsidR="00737C6F">
        <w:rPr>
          <w:rStyle w:val="VodilnistavekUMAR"/>
        </w:rPr>
        <w:t xml:space="preserve"> </w:t>
      </w:r>
      <w:r w:rsidR="00737C6F" w:rsidRPr="007E0D40">
        <w:rPr>
          <w:rStyle w:val="VodilnistavekUMAR"/>
          <w:b w:val="0"/>
        </w:rPr>
        <w:t>Začetno leto predstavlja izhodiščne vrednosti demografskih komponent, ki se spreminjajo v skladu z določenimi predpostavkami.</w:t>
      </w:r>
      <w:r w:rsidR="007D4259" w:rsidRPr="007E0D40">
        <w:rPr>
          <w:rStyle w:val="VodilnistavekUMAR"/>
        </w:rPr>
        <w:t xml:space="preserve"> </w:t>
      </w:r>
      <w:r w:rsidR="00A56AFA" w:rsidRPr="00322C34">
        <w:rPr>
          <w:rStyle w:val="VodilnistavekUMAR"/>
          <w:b w:val="0"/>
        </w:rPr>
        <w:t xml:space="preserve">Ker temeljijo na </w:t>
      </w:r>
      <w:r w:rsidR="006D05DA" w:rsidRPr="00322C34">
        <w:rPr>
          <w:rStyle w:val="VodilnistavekUMAR"/>
          <w:b w:val="0"/>
        </w:rPr>
        <w:t xml:space="preserve">določenih </w:t>
      </w:r>
      <w:r w:rsidR="00A56AFA" w:rsidRPr="00322C34">
        <w:rPr>
          <w:rStyle w:val="VodilnistavekUMAR"/>
          <w:b w:val="0"/>
        </w:rPr>
        <w:t>predpostavkah o rodnosti, umrljivosti in</w:t>
      </w:r>
      <w:r w:rsidR="00A56AFA">
        <w:rPr>
          <w:rStyle w:val="VodilnistavekUMAR"/>
          <w:b w:val="0"/>
        </w:rPr>
        <w:t xml:space="preserve"> selitvah</w:t>
      </w:r>
      <w:r w:rsidR="002077D7">
        <w:rPr>
          <w:rStyle w:val="VodilnistavekUMAR"/>
          <w:b w:val="0"/>
        </w:rPr>
        <w:t xml:space="preserve">, </w:t>
      </w:r>
      <w:r w:rsidRPr="00A56AFA">
        <w:rPr>
          <w:rStyle w:val="VodilnistavekUMAR"/>
          <w:b w:val="0"/>
        </w:rPr>
        <w:t>so le en</w:t>
      </w:r>
      <w:r w:rsidR="00561E0F">
        <w:rPr>
          <w:rStyle w:val="VodilnistavekUMAR"/>
          <w:b w:val="0"/>
        </w:rPr>
        <w:t>a</w:t>
      </w:r>
      <w:r w:rsidRPr="00A56AFA">
        <w:rPr>
          <w:rStyle w:val="VodilnistavekUMAR"/>
          <w:b w:val="0"/>
        </w:rPr>
        <w:t xml:space="preserve"> od možn</w:t>
      </w:r>
      <w:r w:rsidR="002077D7">
        <w:rPr>
          <w:rStyle w:val="VodilnistavekUMAR"/>
          <w:b w:val="0"/>
        </w:rPr>
        <w:t xml:space="preserve">osti za </w:t>
      </w:r>
      <w:r w:rsidR="002546DA">
        <w:rPr>
          <w:rStyle w:val="VodilnistavekUMAR"/>
          <w:b w:val="0"/>
        </w:rPr>
        <w:t>demografsko sliko</w:t>
      </w:r>
      <w:r w:rsidR="002077D7">
        <w:rPr>
          <w:rStyle w:val="VodilnistavekUMAR"/>
          <w:b w:val="0"/>
        </w:rPr>
        <w:t xml:space="preserve"> v prihodnosti</w:t>
      </w:r>
      <w:r w:rsidR="0004675F">
        <w:rPr>
          <w:rStyle w:val="VodilnistavekUMAR"/>
          <w:b w:val="0"/>
        </w:rPr>
        <w:t xml:space="preserve"> (</w:t>
      </w:r>
      <w:r w:rsidR="002724CD">
        <w:rPr>
          <w:rStyle w:val="VodilnistavekUMAR"/>
          <w:b w:val="0"/>
        </w:rPr>
        <w:t xml:space="preserve">so </w:t>
      </w:r>
      <w:r w:rsidR="0004675F">
        <w:rPr>
          <w:rStyle w:val="VodilnistavekUMAR"/>
          <w:b w:val="0"/>
        </w:rPr>
        <w:t>scenariji »kaj-če«)</w:t>
      </w:r>
      <w:r w:rsidR="002077D7">
        <w:rPr>
          <w:rStyle w:val="VodilnistavekUMAR"/>
          <w:b w:val="0"/>
        </w:rPr>
        <w:t xml:space="preserve">. </w:t>
      </w:r>
      <w:r w:rsidR="00537378">
        <w:rPr>
          <w:rStyle w:val="VodilnistavekUMAR"/>
          <w:b w:val="0"/>
        </w:rPr>
        <w:t>Ne vključujejo izrednih dogodkov kot so pandemije, gospodarske krize, vojne ipd.</w:t>
      </w:r>
      <w:r w:rsidR="00D70B10">
        <w:rPr>
          <w:rStyle w:val="VodilnistavekUMAR"/>
          <w:b w:val="0"/>
        </w:rPr>
        <w:t xml:space="preserve"> </w:t>
      </w:r>
    </w:p>
    <w:p w14:paraId="5ED5A91C" w14:textId="77777777" w:rsidR="000B6F33" w:rsidRDefault="000B6F33" w:rsidP="00A56AFA">
      <w:pPr>
        <w:pStyle w:val="BesediloUMAR"/>
        <w:rPr>
          <w:rStyle w:val="VodilnistavekUMAR"/>
          <w:b w:val="0"/>
        </w:rPr>
      </w:pPr>
    </w:p>
    <w:p w14:paraId="266FEB5A" w14:textId="2803A5DF" w:rsidR="00C65F0E" w:rsidRPr="00AB577B" w:rsidRDefault="00AB577B" w:rsidP="00A56AFA">
      <w:pPr>
        <w:pStyle w:val="BesediloUMAR"/>
      </w:pPr>
      <w:r w:rsidRPr="00AB577B">
        <w:rPr>
          <w:rStyle w:val="BoldpoudarekUMAR"/>
        </w:rPr>
        <w:t>Projekcije so aktualne predvsem z vidika analiziranja izzivov, ki jih povzroča spreminjanje strukture prebivalcev</w:t>
      </w:r>
      <w:r w:rsidR="00555BF2">
        <w:rPr>
          <w:rStyle w:val="BoldpoudarekUMAR"/>
        </w:rPr>
        <w:t>,</w:t>
      </w:r>
      <w:r w:rsidRPr="00AB577B">
        <w:rPr>
          <w:rStyle w:val="BoldpoudarekUMAR"/>
        </w:rPr>
        <w:t xml:space="preserve"> </w:t>
      </w:r>
      <w:r w:rsidR="00555BF2">
        <w:rPr>
          <w:rStyle w:val="BoldpoudarekUMAR"/>
        </w:rPr>
        <w:t>ter</w:t>
      </w:r>
      <w:r w:rsidRPr="00AB577B">
        <w:rPr>
          <w:rStyle w:val="BoldpoudarekUMAR"/>
        </w:rPr>
        <w:t xml:space="preserve"> uvajanja potrebnih odzivov politik in prilagoditev sistemov. </w:t>
      </w:r>
      <w:r w:rsidRPr="00AB577B">
        <w:t>Na njihovi podlagi se pripravljajo projekcije vpliva demografskih sprememb na dolgoročno vzdržnost javnih financ (sistemov socialne zaščite) in v okviru evropskega semestra tudi priporočila ekonomski politiki držav. Tako je v pripravi novo Poročilo o staranju (Ageing report), ki bo predvidoma objavljeno sredi leta</w:t>
      </w:r>
      <w:r w:rsidR="009F5CE1">
        <w:t xml:space="preserve"> 2024</w:t>
      </w:r>
      <w:r w:rsidRPr="00AB577B">
        <w:t xml:space="preserve"> in kjer bodo projekcije prebival</w:t>
      </w:r>
      <w:r w:rsidR="002546DA">
        <w:t>cev</w:t>
      </w:r>
      <w:r w:rsidRPr="00AB577B">
        <w:t xml:space="preserve"> podlaga za pripravo izračunov izdatkov za staranje (za pokojnine, zdravstvo ipd.). Poleg tega so projekcije pomembne tudi za druge analize vpliva staranja na trg dela (npr. težave s pomanjkanjem delovne sile) in gospodarske rasti.</w:t>
      </w:r>
    </w:p>
    <w:p w14:paraId="17E7AB80" w14:textId="2DAAFC55" w:rsidR="00615430" w:rsidRDefault="00615430" w:rsidP="00A56AFA">
      <w:pPr>
        <w:pStyle w:val="BesediloUMAR"/>
        <w:rPr>
          <w:rStyle w:val="VodilnistavekUMAR"/>
          <w:b w:val="0"/>
        </w:rPr>
      </w:pPr>
    </w:p>
    <w:p w14:paraId="139F1083" w14:textId="196B4B89" w:rsidR="00615430" w:rsidRDefault="00CF5692" w:rsidP="00A56AFA">
      <w:pPr>
        <w:pStyle w:val="BesediloUMAR"/>
        <w:rPr>
          <w:rStyle w:val="VodilnistavekUMAR"/>
          <w:b w:val="0"/>
        </w:rPr>
      </w:pPr>
      <w:r>
        <w:rPr>
          <w:rStyle w:val="VodilnistavekUMAR"/>
          <w:b w:val="0"/>
        </w:rPr>
        <w:t>---------</w:t>
      </w:r>
    </w:p>
    <w:p w14:paraId="2807460C" w14:textId="77777777" w:rsidR="003E54FB" w:rsidRPr="00A56AFA" w:rsidRDefault="003E54FB" w:rsidP="00A56AFA">
      <w:pPr>
        <w:pStyle w:val="BesediloUMAR"/>
        <w:rPr>
          <w:rStyle w:val="VodilnistavekUMAR"/>
          <w:b w:val="0"/>
        </w:rPr>
      </w:pPr>
    </w:p>
    <w:p w14:paraId="1A20F6DF" w14:textId="15104F9D" w:rsidR="00B5063C" w:rsidRPr="00291623" w:rsidRDefault="00B5063C" w:rsidP="00A56AFA">
      <w:pPr>
        <w:pStyle w:val="BesediloUMAR"/>
        <w:rPr>
          <w:rStyle w:val="VodilnistavekUMAR"/>
          <w:b w:val="0"/>
        </w:rPr>
      </w:pPr>
      <w:r w:rsidRPr="00291623">
        <w:rPr>
          <w:rStyle w:val="VodilnistavekUMAR"/>
          <w:b w:val="0"/>
        </w:rPr>
        <w:t xml:space="preserve">V kratki analizi najprej predstavimo demografsko sliko Slovenije, gibanje števila in strukture </w:t>
      </w:r>
      <w:r w:rsidR="00AE71BD" w:rsidRPr="00291623">
        <w:rPr>
          <w:rStyle w:val="VodilnistavekUMAR"/>
          <w:b w:val="0"/>
        </w:rPr>
        <w:t>prebivalcev</w:t>
      </w:r>
      <w:r w:rsidRPr="00291623">
        <w:rPr>
          <w:rStyle w:val="VodilnistavekUMAR"/>
          <w:b w:val="0"/>
        </w:rPr>
        <w:t xml:space="preserve"> od leta</w:t>
      </w:r>
      <w:r w:rsidR="00B433CF">
        <w:rPr>
          <w:rStyle w:val="VodilnistavekUMAR"/>
          <w:b w:val="0"/>
        </w:rPr>
        <w:t xml:space="preserve"> </w:t>
      </w:r>
      <w:r w:rsidRPr="00291623">
        <w:rPr>
          <w:rStyle w:val="VodilnistavekUMAR"/>
          <w:b w:val="0"/>
        </w:rPr>
        <w:t>1982</w:t>
      </w:r>
      <w:r w:rsidR="00B433CF">
        <w:rPr>
          <w:rStyle w:val="VodilnistavekUMAR"/>
          <w:b w:val="0"/>
        </w:rPr>
        <w:t xml:space="preserve"> naprej</w:t>
      </w:r>
      <w:r w:rsidR="00AE71BD" w:rsidRPr="00291623">
        <w:rPr>
          <w:rStyle w:val="VodilnistavekUMAR"/>
          <w:b w:val="0"/>
        </w:rPr>
        <w:t xml:space="preserve"> ter razloge za to gibanje, ki se nanašajo na rodnost, </w:t>
      </w:r>
      <w:r w:rsidR="009A1EE2" w:rsidRPr="00291623">
        <w:rPr>
          <w:rStyle w:val="VodilnistavekUMAR"/>
          <w:b w:val="0"/>
        </w:rPr>
        <w:t>umrljivost</w:t>
      </w:r>
      <w:r w:rsidR="00AE71BD" w:rsidRPr="00291623">
        <w:rPr>
          <w:rStyle w:val="VodilnistavekUMAR"/>
          <w:b w:val="0"/>
        </w:rPr>
        <w:t xml:space="preserve"> in preseljevanje</w:t>
      </w:r>
      <w:r w:rsidR="00B433CF">
        <w:rPr>
          <w:rStyle w:val="VodilnistavekUMAR"/>
          <w:b w:val="0"/>
        </w:rPr>
        <w:t xml:space="preserve"> (prikazujemo pod</w:t>
      </w:r>
      <w:r w:rsidR="00276C90">
        <w:rPr>
          <w:rStyle w:val="VodilnistavekUMAR"/>
          <w:b w:val="0"/>
        </w:rPr>
        <w:t>a</w:t>
      </w:r>
      <w:r w:rsidR="00B433CF">
        <w:rPr>
          <w:rStyle w:val="VodilnistavekUMAR"/>
          <w:b w:val="0"/>
        </w:rPr>
        <w:t xml:space="preserve">tke od </w:t>
      </w:r>
      <w:r w:rsidR="00D86784">
        <w:rPr>
          <w:rStyle w:val="VodilnistavekUMAR"/>
          <w:b w:val="0"/>
        </w:rPr>
        <w:t xml:space="preserve">razpoložljivega </w:t>
      </w:r>
      <w:r w:rsidR="00B433CF">
        <w:rPr>
          <w:rStyle w:val="VodilnistavekUMAR"/>
          <w:b w:val="0"/>
        </w:rPr>
        <w:t>leta</w:t>
      </w:r>
      <w:r w:rsidR="00936630">
        <w:rPr>
          <w:rStyle w:val="VodilnistavekUMAR"/>
          <w:b w:val="0"/>
        </w:rPr>
        <w:t xml:space="preserve"> naprej</w:t>
      </w:r>
      <w:r w:rsidR="00B433CF">
        <w:rPr>
          <w:rStyle w:val="VodilnistavekUMAR"/>
          <w:b w:val="0"/>
        </w:rPr>
        <w:t>)</w:t>
      </w:r>
      <w:r w:rsidR="00AE71BD" w:rsidRPr="00291623">
        <w:rPr>
          <w:rStyle w:val="VodilnistavekUMAR"/>
          <w:b w:val="0"/>
        </w:rPr>
        <w:t xml:space="preserve">. Nato te tri komponente še </w:t>
      </w:r>
      <w:r w:rsidR="00291623" w:rsidRPr="00291623">
        <w:rPr>
          <w:rStyle w:val="VodilnistavekUMAR"/>
          <w:b w:val="0"/>
        </w:rPr>
        <w:t xml:space="preserve">podrobneje predstavimo v poglavju o predpostavkah, kjer opišemo </w:t>
      </w:r>
      <w:r w:rsidR="008A1E49">
        <w:rPr>
          <w:rStyle w:val="VodilnistavekUMAR"/>
          <w:b w:val="0"/>
        </w:rPr>
        <w:t xml:space="preserve">njihovo </w:t>
      </w:r>
      <w:r w:rsidR="008A1E49" w:rsidRPr="00291623">
        <w:rPr>
          <w:rStyle w:val="VodilnistavekUMAR"/>
          <w:b w:val="0"/>
        </w:rPr>
        <w:t>gibanje</w:t>
      </w:r>
      <w:r w:rsidR="008A1E49">
        <w:rPr>
          <w:rStyle w:val="VodilnistavekUMAR"/>
          <w:b w:val="0"/>
        </w:rPr>
        <w:t>, upoštevano v</w:t>
      </w:r>
      <w:r w:rsidR="00291623" w:rsidRPr="00291623">
        <w:rPr>
          <w:rStyle w:val="VodilnistavekUMAR"/>
          <w:b w:val="0"/>
        </w:rPr>
        <w:t xml:space="preserve"> projekciji. </w:t>
      </w:r>
      <w:r w:rsidR="008A1E49">
        <w:rPr>
          <w:rStyle w:val="VodilnistavekUMAR"/>
          <w:b w:val="0"/>
        </w:rPr>
        <w:t>Sledijo</w:t>
      </w:r>
      <w:r w:rsidR="004A5F2C">
        <w:rPr>
          <w:rStyle w:val="VodilnistavekUMAR"/>
          <w:b w:val="0"/>
        </w:rPr>
        <w:t xml:space="preserve"> še </w:t>
      </w:r>
      <w:r w:rsidR="008A1E49">
        <w:rPr>
          <w:rStyle w:val="VodilnistavekUMAR"/>
          <w:b w:val="0"/>
        </w:rPr>
        <w:t>predstavitev</w:t>
      </w:r>
      <w:r w:rsidR="004A5F2C">
        <w:rPr>
          <w:rStyle w:val="VodilnistavekUMAR"/>
          <w:b w:val="0"/>
        </w:rPr>
        <w:t xml:space="preserve"> scenarijev občutljivosti</w:t>
      </w:r>
      <w:r w:rsidR="00A14B94">
        <w:rPr>
          <w:rStyle w:val="VodilnistavekUMAR"/>
          <w:b w:val="0"/>
        </w:rPr>
        <w:t xml:space="preserve"> ter skle</w:t>
      </w:r>
      <w:r w:rsidR="008A1E49">
        <w:rPr>
          <w:rStyle w:val="VodilnistavekUMAR"/>
          <w:b w:val="0"/>
        </w:rPr>
        <w:t>pne ugotovitve</w:t>
      </w:r>
      <w:r w:rsidR="004A5F2C">
        <w:rPr>
          <w:rStyle w:val="VodilnistavekUMAR"/>
          <w:b w:val="0"/>
        </w:rPr>
        <w:t>.</w:t>
      </w:r>
      <w:r w:rsidR="00A14B94">
        <w:rPr>
          <w:rStyle w:val="VodilnistavekUMAR"/>
          <w:b w:val="0"/>
        </w:rPr>
        <w:t xml:space="preserve"> Na koncu je dodan </w:t>
      </w:r>
      <w:r w:rsidR="00A14B94" w:rsidRPr="002E7B0A">
        <w:rPr>
          <w:rStyle w:val="VodilnistavekUMAR"/>
          <w:b w:val="0"/>
        </w:rPr>
        <w:t>terminološk</w:t>
      </w:r>
      <w:r w:rsidR="00A14B94" w:rsidRPr="00486FFA">
        <w:rPr>
          <w:rStyle w:val="VodilnistavekUMAR"/>
          <w:b w:val="0"/>
        </w:rPr>
        <w:t>i</w:t>
      </w:r>
      <w:r w:rsidR="00A14B94">
        <w:rPr>
          <w:rStyle w:val="VodilnistavekUMAR"/>
          <w:b w:val="0"/>
        </w:rPr>
        <w:t xml:space="preserve"> slovarček </w:t>
      </w:r>
      <w:r w:rsidR="008A1E49">
        <w:rPr>
          <w:rStyle w:val="VodilnistavekUMAR"/>
          <w:b w:val="0"/>
        </w:rPr>
        <w:t>nekaterih ključnih pojmov, ki so v tekstu</w:t>
      </w:r>
      <w:r w:rsidR="00CD2122">
        <w:rPr>
          <w:rStyle w:val="VodilnistavekUMAR"/>
          <w:b w:val="0"/>
        </w:rPr>
        <w:t xml:space="preserve"> ob prvi navedbi</w:t>
      </w:r>
      <w:r w:rsidR="00A14B94">
        <w:rPr>
          <w:rStyle w:val="VodilnistavekUMAR"/>
          <w:b w:val="0"/>
        </w:rPr>
        <w:t xml:space="preserve"> označen</w:t>
      </w:r>
      <w:r w:rsidR="008A1E49">
        <w:rPr>
          <w:rStyle w:val="VodilnistavekUMAR"/>
          <w:b w:val="0"/>
        </w:rPr>
        <w:t>i</w:t>
      </w:r>
      <w:r w:rsidR="00A14B94">
        <w:rPr>
          <w:rStyle w:val="VodilnistavekUMAR"/>
          <w:b w:val="0"/>
        </w:rPr>
        <w:t xml:space="preserve"> z *).</w:t>
      </w:r>
    </w:p>
    <w:p w14:paraId="7DAB95CF" w14:textId="77777777" w:rsidR="00291623" w:rsidRDefault="00291623" w:rsidP="00A56AFA">
      <w:pPr>
        <w:pStyle w:val="BesediloUMAR"/>
        <w:rPr>
          <w:rStyle w:val="VodilnistavekUMAR"/>
          <w:b w:val="0"/>
          <w:highlight w:val="lightGray"/>
        </w:rPr>
      </w:pPr>
    </w:p>
    <w:p w14:paraId="15913694" w14:textId="77777777" w:rsidR="00EE1C7B" w:rsidRPr="00EE1C7B" w:rsidRDefault="00EE1C7B" w:rsidP="00EE1C7B">
      <w:pPr>
        <w:pStyle w:val="BesediloUMAR"/>
        <w:rPr>
          <w:rStyle w:val="VodilnistavekUMAR"/>
          <w:b w:val="0"/>
        </w:rPr>
      </w:pPr>
    </w:p>
    <w:p w14:paraId="1584571B" w14:textId="77777777" w:rsidR="00611C0D" w:rsidRDefault="00611C0D" w:rsidP="00611C0D">
      <w:pPr>
        <w:pStyle w:val="Heading1"/>
      </w:pPr>
      <w:bookmarkStart w:id="16" w:name="_Toc146283010"/>
      <w:r w:rsidRPr="00611C0D">
        <w:lastRenderedPageBreak/>
        <w:t xml:space="preserve">Demografska gibanja </w:t>
      </w:r>
      <w:r w:rsidR="00871F3F">
        <w:t xml:space="preserve">v Sloveniji in </w:t>
      </w:r>
      <w:r w:rsidR="00B34671">
        <w:t>gibanje prebivalcev po projekciji EUROPOP2023</w:t>
      </w:r>
      <w:bookmarkEnd w:id="16"/>
    </w:p>
    <w:p w14:paraId="110E74AA" w14:textId="77777777" w:rsidR="00E56B81" w:rsidRPr="00E56B81" w:rsidRDefault="00E56B81" w:rsidP="00E56B81">
      <w:pPr>
        <w:pStyle w:val="BesediloUMAR"/>
      </w:pPr>
    </w:p>
    <w:p w14:paraId="729E46AA" w14:textId="0F008FE0" w:rsidR="00E56B81" w:rsidRDefault="00E56B81" w:rsidP="00E56B81">
      <w:pPr>
        <w:pStyle w:val="BesediloUMAR"/>
      </w:pPr>
      <w:r w:rsidRPr="00730DB8">
        <w:rPr>
          <w:rStyle w:val="VodilnistavekUMAR"/>
        </w:rPr>
        <w:t>Na rast</w:t>
      </w:r>
      <w:r w:rsidR="00520F62">
        <w:rPr>
          <w:rStyle w:val="VodilnistavekUMAR"/>
        </w:rPr>
        <w:t xml:space="preserve"> števila prebivalcev</w:t>
      </w:r>
      <w:r w:rsidR="00CF5692">
        <w:rPr>
          <w:rStyle w:val="VodilnistavekUMAR"/>
        </w:rPr>
        <w:t>*</w:t>
      </w:r>
      <w:r w:rsidRPr="00730DB8">
        <w:rPr>
          <w:rStyle w:val="VodilnistavekUMAR"/>
        </w:rPr>
        <w:t xml:space="preserve"> in </w:t>
      </w:r>
      <w:r w:rsidR="00C61B29">
        <w:rPr>
          <w:rStyle w:val="VodilnistavekUMAR"/>
        </w:rPr>
        <w:t xml:space="preserve">njihovo </w:t>
      </w:r>
      <w:r w:rsidRPr="00730DB8">
        <w:rPr>
          <w:rStyle w:val="VodilnistavekUMAR"/>
        </w:rPr>
        <w:t>starostno sestavo vplivajo tri osnovne komponente: rodnost, umrljivost in selitve.</w:t>
      </w:r>
      <w:r w:rsidRPr="00E56B81">
        <w:t xml:space="preserve"> Njihov </w:t>
      </w:r>
      <w:r w:rsidR="00C61B29">
        <w:t xml:space="preserve">vpliv na </w:t>
      </w:r>
      <w:r w:rsidR="002546DA">
        <w:t xml:space="preserve">gibanje </w:t>
      </w:r>
      <w:r w:rsidR="00176EC2">
        <w:t xml:space="preserve">števila </w:t>
      </w:r>
      <w:r w:rsidR="002546DA">
        <w:t>prebivalcev</w:t>
      </w:r>
      <w:r w:rsidRPr="00E56B81">
        <w:t xml:space="preserve"> je običajno dolgoročnejše narave, odvisen od kulturnih, tehnoloških, gospodarskih in političnih pogojev, ki določajo življenjske navade in možnosti prebival</w:t>
      </w:r>
      <w:r w:rsidR="00C61B29">
        <w:t>cev</w:t>
      </w:r>
      <w:r w:rsidRPr="00E56B81">
        <w:t xml:space="preserve"> posameznih držav</w:t>
      </w:r>
      <w:r w:rsidR="00615430">
        <w:t xml:space="preserve"> </w:t>
      </w:r>
      <w:r w:rsidR="00615430">
        <w:fldChar w:fldCharType="begin"/>
      </w:r>
      <w:r w:rsidR="00615430">
        <w:instrText xml:space="preserve"> ADDIN ZOTERO_ITEM CSL_CITATION {"citationID":"KoN3xNFj","properties":{"formattedCitation":"(Kraigher in Ferk, 2013)","plainCitation":"(Kraigher in Ferk, 2013)","noteIndex":0},"citationItems":[{"id":3377,"uris":["http://zotero.org/users/8040504/items/ILSIE6RX"],"itemData":{"id":3377,"type":"book","collection-number":"3/2013","collection-title":"Delovni zvezek","event-place":"Ljubljana","ISBN":"978-961-6839-20-4","publisher":"UMAR","publisher-place":"Ljubljana","title":"Delovna projekcija prebivalstva Slovenije","URL":"https://www.umar.gov.si/fileadmin/user_upload/publikacije/dz/2013/dz03-13.pdf","volume":"XXII","author":[{"family":"Kraigher","given":"Tomaž"},{"family":"Ferk","given":"Barbara"}],"issued":{"date-parts":[["2013"]]}}}],"schema":"https://github.com/citation-style-language/schema/raw/master/csl-citation.json"} </w:instrText>
      </w:r>
      <w:r w:rsidR="00615430">
        <w:fldChar w:fldCharType="separate"/>
      </w:r>
      <w:r w:rsidR="00615430" w:rsidRPr="00615430">
        <w:t>(Kraigher in Ferk, 2013)</w:t>
      </w:r>
      <w:r w:rsidR="00615430">
        <w:fldChar w:fldCharType="end"/>
      </w:r>
      <w:r w:rsidRPr="00E56B81">
        <w:t xml:space="preserve">. </w:t>
      </w:r>
      <w:r w:rsidR="00294A16">
        <w:t xml:space="preserve">Te tri komponente podrobneje predstavljamo </w:t>
      </w:r>
      <w:r w:rsidR="00294A16" w:rsidRPr="002E7B0A">
        <w:t xml:space="preserve">v </w:t>
      </w:r>
      <w:r w:rsidR="00CE0060" w:rsidRPr="002E7B0A">
        <w:t xml:space="preserve">poglavju </w:t>
      </w:r>
      <w:r w:rsidR="00CE0060" w:rsidRPr="002E7B0A">
        <w:fldChar w:fldCharType="begin"/>
      </w:r>
      <w:r w:rsidR="00CE0060" w:rsidRPr="002E7B0A">
        <w:instrText xml:space="preserve"> REF _Ref138747969 \r \h  \* MERGEFORMAT </w:instrText>
      </w:r>
      <w:r w:rsidR="00CE0060" w:rsidRPr="002E7B0A">
        <w:fldChar w:fldCharType="separate"/>
      </w:r>
      <w:r w:rsidR="00B3724D">
        <w:t>3</w:t>
      </w:r>
      <w:r w:rsidR="00CE0060" w:rsidRPr="002E7B0A">
        <w:fldChar w:fldCharType="end"/>
      </w:r>
      <w:r w:rsidR="00294A16" w:rsidRPr="004A2E76">
        <w:t>.</w:t>
      </w:r>
    </w:p>
    <w:p w14:paraId="3D09EEB4" w14:textId="77777777" w:rsidR="001C57FA" w:rsidRDefault="001C57FA" w:rsidP="00E56B81">
      <w:pPr>
        <w:pStyle w:val="BesediloUMAR"/>
      </w:pPr>
    </w:p>
    <w:p w14:paraId="362A650E" w14:textId="234E5E0A" w:rsidR="00235A8C" w:rsidRPr="00831A62" w:rsidRDefault="00E857A5" w:rsidP="001A798D">
      <w:pPr>
        <w:pStyle w:val="Heading2"/>
        <w:rPr>
          <w:rStyle w:val="VodilnistavekUMAR"/>
          <w:b/>
        </w:rPr>
      </w:pPr>
      <w:bookmarkStart w:id="17" w:name="_Toc146283011"/>
      <w:r>
        <w:t>Število in struktura prebivalcev Slovenije</w:t>
      </w:r>
      <w:bookmarkEnd w:id="17"/>
    </w:p>
    <w:p w14:paraId="0ECCF411" w14:textId="736745ED" w:rsidR="00B46E09" w:rsidRPr="00763AD6" w:rsidRDefault="00DD5887" w:rsidP="00B46E09">
      <w:pPr>
        <w:pStyle w:val="BesediloUMAR"/>
      </w:pPr>
      <w:r w:rsidRPr="001C40C0">
        <w:rPr>
          <w:b/>
        </w:rPr>
        <w:t>V Sloveniji naj bi po najnovejših Eurostatovih projekcijah prebival</w:t>
      </w:r>
      <w:r w:rsidR="002546DA">
        <w:rPr>
          <w:b/>
        </w:rPr>
        <w:t>cev</w:t>
      </w:r>
      <w:r w:rsidRPr="001C40C0">
        <w:rPr>
          <w:b/>
        </w:rPr>
        <w:t xml:space="preserve"> leta 2100 živelo 1</w:t>
      </w:r>
      <w:r w:rsidR="00F929D8">
        <w:rPr>
          <w:b/>
        </w:rPr>
        <w:t>.</w:t>
      </w:r>
      <w:r w:rsidRPr="001C40C0">
        <w:rPr>
          <w:b/>
        </w:rPr>
        <w:t>95</w:t>
      </w:r>
      <w:r w:rsidR="00E6150D">
        <w:rPr>
          <w:b/>
        </w:rPr>
        <w:t>0.820</w:t>
      </w:r>
      <w:r w:rsidRPr="001C40C0">
        <w:rPr>
          <w:b/>
        </w:rPr>
        <w:t xml:space="preserve"> prebivalcev </w:t>
      </w:r>
      <w:r w:rsidR="00AC73D9">
        <w:rPr>
          <w:b/>
        </w:rPr>
        <w:t>oz.</w:t>
      </w:r>
      <w:r w:rsidRPr="001C40C0">
        <w:rPr>
          <w:b/>
        </w:rPr>
        <w:t xml:space="preserve"> 156 tisoč manj kot leta 2022. </w:t>
      </w:r>
      <w:r w:rsidR="00F1481A">
        <w:t xml:space="preserve">Po projekciji EUROPOP2023 </w:t>
      </w:r>
      <w:r w:rsidR="008A1E49">
        <w:t xml:space="preserve">naj </w:t>
      </w:r>
      <w:r w:rsidR="00F1481A">
        <w:t xml:space="preserve">bi se število prebivalcev </w:t>
      </w:r>
      <w:r w:rsidR="00C75CB3">
        <w:t>do leta 2026</w:t>
      </w:r>
      <w:r w:rsidR="008A1E49">
        <w:t xml:space="preserve"> </w:t>
      </w:r>
      <w:r w:rsidR="00F1481A">
        <w:t xml:space="preserve">povečevalo, nato pa </w:t>
      </w:r>
      <w:r w:rsidR="00F1481A" w:rsidRPr="002D26C6">
        <w:t xml:space="preserve">začelo </w:t>
      </w:r>
      <w:r w:rsidR="002D26C6" w:rsidRPr="002D26C6">
        <w:t>malenkost upadati</w:t>
      </w:r>
      <w:r w:rsidR="00F1481A" w:rsidRPr="002D26C6">
        <w:t xml:space="preserve">. </w:t>
      </w:r>
      <w:r w:rsidRPr="002D26C6">
        <w:t>Nekoliko hitrejše upadanje se predvideva okoli leta 2045, ko naj</w:t>
      </w:r>
      <w:r w:rsidRPr="00DD5887">
        <w:t xml:space="preserve"> bi se odrazil največji vpliv staranja prebivalcev zaradi prehajanja številčnejših generacij, rojenih okoli leta 1980</w:t>
      </w:r>
      <w:r w:rsidR="00007509">
        <w:t>,</w:t>
      </w:r>
      <w:r w:rsidRPr="00DD5887">
        <w:t xml:space="preserve"> med starejše prebivalce (</w:t>
      </w:r>
      <w:r w:rsidR="00CB08FC">
        <w:t xml:space="preserve">nad </w:t>
      </w:r>
      <w:r w:rsidRPr="00DD5887">
        <w:t>65</w:t>
      </w:r>
      <w:r w:rsidR="00CB08FC">
        <w:t xml:space="preserve"> let</w:t>
      </w:r>
      <w:r w:rsidRPr="00DD5887">
        <w:t>)</w:t>
      </w:r>
      <w:r w:rsidR="004F4AB5">
        <w:t>*</w:t>
      </w:r>
      <w:r w:rsidRPr="00DD5887">
        <w:t xml:space="preserve"> in hkrati manjših generacij, ki se bodo rojevale v prihodnjih letih, med delovno sposobne (20–64 let)</w:t>
      </w:r>
      <w:r w:rsidR="004F4AB5">
        <w:t>*</w:t>
      </w:r>
      <w:r w:rsidRPr="00DD5887">
        <w:t xml:space="preserve">. </w:t>
      </w:r>
      <w:r w:rsidR="00CF5692">
        <w:t>G</w:t>
      </w:r>
      <w:r w:rsidR="002D26C6">
        <w:t xml:space="preserve">eneracije, ki se bodo začele rojevati v </w:t>
      </w:r>
      <w:r w:rsidR="008A1E49">
        <w:t xml:space="preserve">prihodnjih </w:t>
      </w:r>
      <w:r w:rsidR="002D26C6">
        <w:t>letih</w:t>
      </w:r>
      <w:r w:rsidR="00012C87">
        <w:t xml:space="preserve"> in čez 20 let </w:t>
      </w:r>
      <w:r w:rsidR="008A1E49">
        <w:t>prehajati</w:t>
      </w:r>
      <w:r w:rsidR="00012C87">
        <w:t xml:space="preserve"> med delovno sposobne</w:t>
      </w:r>
      <w:r w:rsidR="00DA5EEF">
        <w:t>,</w:t>
      </w:r>
      <w:r w:rsidR="00012C87">
        <w:t xml:space="preserve"> </w:t>
      </w:r>
      <w:r w:rsidR="003E2FA9">
        <w:t xml:space="preserve">bodo predvideno </w:t>
      </w:r>
      <w:r w:rsidR="00012C87">
        <w:t xml:space="preserve">za </w:t>
      </w:r>
      <w:r w:rsidR="002E1E1D">
        <w:t xml:space="preserve">okoli </w:t>
      </w:r>
      <w:r w:rsidR="00012C87">
        <w:t>10 tisoč manjše od tistih, ki se bodo</w:t>
      </w:r>
      <w:r w:rsidR="00880A83">
        <w:t xml:space="preserve"> okoli leta 2045 starale.</w:t>
      </w:r>
      <w:r w:rsidR="00920C66" w:rsidRPr="006E7431">
        <w:rPr>
          <w:rStyle w:val="FootnoteReference"/>
        </w:rPr>
        <w:footnoteReference w:id="4"/>
      </w:r>
      <w:r w:rsidR="00880A83">
        <w:t xml:space="preserve"> </w:t>
      </w:r>
      <w:r w:rsidR="0062687C">
        <w:t>Zato se bo povečevalo le število starejših prebivalcev</w:t>
      </w:r>
      <w:r w:rsidR="0062687C" w:rsidRPr="007302C4">
        <w:t xml:space="preserve">. </w:t>
      </w:r>
      <w:r w:rsidR="007302C4">
        <w:t>V</w:t>
      </w:r>
      <w:r w:rsidRPr="00DD5887">
        <w:t xml:space="preserve"> začetku leta 2026 naj bi v Sloveniji živelo 2.121.073 prebivalcev, </w:t>
      </w:r>
      <w:r w:rsidR="007302C4">
        <w:t>v</w:t>
      </w:r>
      <w:r w:rsidRPr="00DD5887">
        <w:t xml:space="preserve"> začetku leta 2071 pa pod dva milijona (1.998.235</w:t>
      </w:r>
      <w:r w:rsidR="008A1E49">
        <w:t>). N</w:t>
      </w:r>
      <w:r w:rsidRPr="00DD5887">
        <w:t xml:space="preserve">azadnje je bilo prebivalcev manj kot dva milijona </w:t>
      </w:r>
      <w:r w:rsidR="00B20218">
        <w:t>v</w:t>
      </w:r>
      <w:r w:rsidRPr="00DD5887">
        <w:t xml:space="preserve"> začetku leta 2005. Do leta 2100 pa naj bi se število prebivalcev Slovenije zmanjšalo na 1.950.820, kar je malenkost več, kot je bilo prebivalcev na začetku leta 1986. V obdobju </w:t>
      </w:r>
      <w:r w:rsidR="00741410">
        <w:br/>
      </w:r>
      <w:r w:rsidRPr="00DD5887">
        <w:t>1983–2023 se je v povprečju vsako leto število prebivalcev povečalo za pet tisoč, v obdobju 2023–2100 pa naj bi se v povprečju</w:t>
      </w:r>
      <w:r w:rsidR="00483877">
        <w:t xml:space="preserve"> vsako leto</w:t>
      </w:r>
      <w:r w:rsidRPr="00DD5887">
        <w:t xml:space="preserve"> zmanjšalo za dva tisoč.</w:t>
      </w:r>
      <w:r w:rsidR="00335E04" w:rsidRPr="00335E04">
        <w:t xml:space="preserve"> </w:t>
      </w:r>
    </w:p>
    <w:p w14:paraId="7639C7D5" w14:textId="2B5FFF49" w:rsidR="00E124B0" w:rsidRPr="00E124B0" w:rsidRDefault="00B46E09" w:rsidP="00B84C29">
      <w:pPr>
        <w:pStyle w:val="Caption"/>
      </w:pPr>
      <w:bookmarkStart w:id="18" w:name="_Ref138663259"/>
      <w:bookmarkStart w:id="19" w:name="_Toc146283020"/>
      <w:r w:rsidRPr="00203E0D">
        <w:t xml:space="preserve">Slika </w:t>
      </w:r>
      <w:r w:rsidRPr="00203E0D">
        <w:fldChar w:fldCharType="begin"/>
      </w:r>
      <w:r w:rsidRPr="00203E0D">
        <w:instrText xml:space="preserve"> SEQ Slika \* ARABIC </w:instrText>
      </w:r>
      <w:r w:rsidRPr="00203E0D">
        <w:fldChar w:fldCharType="separate"/>
      </w:r>
      <w:r w:rsidR="00B3724D">
        <w:t>1</w:t>
      </w:r>
      <w:r w:rsidRPr="00203E0D">
        <w:fldChar w:fldCharType="end"/>
      </w:r>
      <w:bookmarkEnd w:id="18"/>
      <w:r w:rsidRPr="00203E0D">
        <w:t xml:space="preserve">: </w:t>
      </w:r>
      <w:r>
        <w:t xml:space="preserve">Po </w:t>
      </w:r>
      <w:r w:rsidR="008A1E49">
        <w:t xml:space="preserve">osnovni </w:t>
      </w:r>
      <w:r>
        <w:t>projekcij</w:t>
      </w:r>
      <w:r w:rsidR="008A1E49">
        <w:t>i</w:t>
      </w:r>
      <w:r>
        <w:t xml:space="preserve"> </w:t>
      </w:r>
      <w:r w:rsidR="008A1E49">
        <w:t>naj bi se</w:t>
      </w:r>
      <w:r w:rsidR="007D4259">
        <w:t xml:space="preserve"> </w:t>
      </w:r>
      <w:r>
        <w:t>število prebivalcev leta 2026 začelo zmanjševati</w:t>
      </w:r>
      <w:bookmarkEnd w:id="19"/>
    </w:p>
    <w:p w14:paraId="3B776615" w14:textId="00B2CAF8" w:rsidR="00D62738" w:rsidRPr="00203E0D" w:rsidRDefault="00974C2C" w:rsidP="00B46E09">
      <w:pPr>
        <w:pStyle w:val="BesediloUMAR"/>
        <w:rPr>
          <w:b/>
          <w:bCs/>
          <w:noProof/>
          <w:szCs w:val="20"/>
        </w:rPr>
      </w:pPr>
      <w:r w:rsidRPr="00974C2C">
        <w:rPr>
          <w:noProof/>
        </w:rPr>
        <w:drawing>
          <wp:inline distT="0" distB="0" distL="0" distR="0" wp14:anchorId="3CBB795E" wp14:editId="2EDDE9A5">
            <wp:extent cx="2772000" cy="2271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000" cy="2271600"/>
                    </a:xfrm>
                    <a:prstGeom prst="rect">
                      <a:avLst/>
                    </a:prstGeom>
                    <a:noFill/>
                    <a:ln>
                      <a:noFill/>
                    </a:ln>
                  </pic:spPr>
                </pic:pic>
              </a:graphicData>
            </a:graphic>
          </wp:inline>
        </w:drawing>
      </w:r>
      <w:r w:rsidR="00125C21">
        <w:rPr>
          <w:b/>
          <w:bCs/>
          <w:noProof/>
          <w:szCs w:val="20"/>
        </w:rPr>
        <w:t xml:space="preserve">    </w:t>
      </w:r>
      <w:r w:rsidR="00763AD6">
        <w:rPr>
          <w:b/>
          <w:bCs/>
          <w:noProof/>
          <w:szCs w:val="20"/>
        </w:rPr>
        <w:t xml:space="preserve"> </w:t>
      </w:r>
      <w:r w:rsidRPr="00974C2C">
        <w:rPr>
          <w:noProof/>
        </w:rPr>
        <w:drawing>
          <wp:inline distT="0" distB="0" distL="0" distR="0" wp14:anchorId="61D41FE3" wp14:editId="66213AD9">
            <wp:extent cx="2772000" cy="2271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2000" cy="2271600"/>
                    </a:xfrm>
                    <a:prstGeom prst="rect">
                      <a:avLst/>
                    </a:prstGeom>
                    <a:noFill/>
                    <a:ln>
                      <a:noFill/>
                    </a:ln>
                  </pic:spPr>
                </pic:pic>
              </a:graphicData>
            </a:graphic>
          </wp:inline>
        </w:drawing>
      </w:r>
    </w:p>
    <w:p w14:paraId="3B8DE35F" w14:textId="42897EA4" w:rsidR="00B916E7" w:rsidRDefault="00B916E7" w:rsidP="00B916E7">
      <w:pPr>
        <w:pStyle w:val="VirUMAR"/>
      </w:pPr>
      <w:r w:rsidRPr="00B916E7">
        <w:t xml:space="preserve">Vir: </w:t>
      </w:r>
      <w:r w:rsidR="00F06DC6">
        <w:fldChar w:fldCharType="begin"/>
      </w:r>
      <w:r w:rsidR="0041067E">
        <w:instrText xml:space="preserve"> ADDIN ZOTERO_ITEM CSL_CITATION {"citationID":"RpTvPaBz","properties":{"custom":"SURS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rsidR="00F06DC6">
        <w:fldChar w:fldCharType="separate"/>
      </w:r>
      <w:r w:rsidR="0041067E" w:rsidRPr="0041067E">
        <w:t>SURS (2023),</w:t>
      </w:r>
      <w:r w:rsidR="00F06DC6">
        <w:fldChar w:fldCharType="end"/>
      </w:r>
      <w:r w:rsidR="0041067E">
        <w:t xml:space="preserve"> </w:t>
      </w:r>
      <w:r w:rsidR="0041067E">
        <w:fldChar w:fldCharType="begin"/>
      </w:r>
      <w:r w:rsidR="0041067E">
        <w:instrText xml:space="preserve"> ADDIN ZOTERO_ITEM CSL_CITATION {"citationID":"CLJS2aKm","properties":{"custom":"Eurostat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0041067E">
        <w:fldChar w:fldCharType="separate"/>
      </w:r>
      <w:r w:rsidR="0041067E" w:rsidRPr="0041067E">
        <w:t>Eurostat (2023a)</w:t>
      </w:r>
      <w:r w:rsidR="0041067E">
        <w:fldChar w:fldCharType="end"/>
      </w:r>
      <w:r w:rsidRPr="00B916E7">
        <w:t>.</w:t>
      </w:r>
    </w:p>
    <w:p w14:paraId="5356AFF2" w14:textId="77777777" w:rsidR="00235A8C" w:rsidRDefault="00235A8C" w:rsidP="001A798D">
      <w:pPr>
        <w:pStyle w:val="BesediloUMAR"/>
        <w:rPr>
          <w:rStyle w:val="VodilnistavekUMAR"/>
        </w:rPr>
      </w:pPr>
    </w:p>
    <w:p w14:paraId="48D171F7" w14:textId="77777777" w:rsidR="00CF1678" w:rsidRDefault="00CF1678" w:rsidP="00C52B87">
      <w:pPr>
        <w:pStyle w:val="BesediloUMAR"/>
        <w:rPr>
          <w:rStyle w:val="VodilnistavekUMAR"/>
        </w:rPr>
      </w:pPr>
    </w:p>
    <w:p w14:paraId="1FF4EC2F" w14:textId="2B4BD6DE" w:rsidR="00C52B87" w:rsidRDefault="0011502E" w:rsidP="00C52B87">
      <w:pPr>
        <w:pStyle w:val="BesediloUMAR"/>
      </w:pPr>
      <w:r w:rsidRPr="005767E7">
        <w:rPr>
          <w:rStyle w:val="VodilnistavekUMAR"/>
        </w:rPr>
        <w:lastRenderedPageBreak/>
        <w:t xml:space="preserve">Z izjemo poosamosvojitvenih let </w:t>
      </w:r>
      <w:r w:rsidR="00335855">
        <w:rPr>
          <w:rStyle w:val="VodilnistavekUMAR"/>
        </w:rPr>
        <w:t xml:space="preserve">in leta 2022 </w:t>
      </w:r>
      <w:r w:rsidRPr="005767E7">
        <w:rPr>
          <w:rStyle w:val="VodilnistavekUMAR"/>
        </w:rPr>
        <w:t>se je število prebivalcev v Sloveniji povečevalo</w:t>
      </w:r>
      <w:r w:rsidR="00F759CD">
        <w:rPr>
          <w:rStyle w:val="VodilnistavekUMAR"/>
        </w:rPr>
        <w:t xml:space="preserve">. </w:t>
      </w:r>
      <w:r w:rsidR="00DC0F24">
        <w:t xml:space="preserve">V začetku leta 1982 je v Sloveniji živelo 1.903.495 prebivalcev, v začetku leta 2023 pa </w:t>
      </w:r>
      <w:r w:rsidR="00DC0F24" w:rsidRPr="00222C5F">
        <w:t>2.1</w:t>
      </w:r>
      <w:r w:rsidR="00222C5F" w:rsidRPr="00222C5F">
        <w:t>1</w:t>
      </w:r>
      <w:r w:rsidR="00DE05DE">
        <w:t>6</w:t>
      </w:r>
      <w:r w:rsidR="00222C5F" w:rsidRPr="00222C5F">
        <w:t>.</w:t>
      </w:r>
      <w:r w:rsidR="00DE05DE">
        <w:t>972</w:t>
      </w:r>
      <w:r w:rsidR="00614E6D" w:rsidRPr="006E7431">
        <w:rPr>
          <w:rStyle w:val="FootnoteReference"/>
        </w:rPr>
        <w:footnoteReference w:id="5"/>
      </w:r>
      <w:r w:rsidR="00DC0F24" w:rsidRPr="00222C5F">
        <w:t>.</w:t>
      </w:r>
      <w:r w:rsidR="00DC0F24">
        <w:t xml:space="preserve"> </w:t>
      </w:r>
      <w:r w:rsidR="001069D8">
        <w:t xml:space="preserve">Število prebivalcev </w:t>
      </w:r>
      <w:r w:rsidR="00ED545E">
        <w:t xml:space="preserve">Slovenije je </w:t>
      </w:r>
      <w:r w:rsidR="008A1E49">
        <w:t xml:space="preserve">v tem obdobju večinoma naraščalo, </w:t>
      </w:r>
      <w:r w:rsidR="00ED545E">
        <w:t>z izjemo obdobja 1992–1999</w:t>
      </w:r>
      <w:r w:rsidR="008F7FEC">
        <w:t>,</w:t>
      </w:r>
      <w:r w:rsidR="00AC73D9">
        <w:t xml:space="preserve"> </w:t>
      </w:r>
      <w:r w:rsidR="00234F2F">
        <w:t xml:space="preserve">ko se je </w:t>
      </w:r>
      <w:r w:rsidR="004A3E05">
        <w:t xml:space="preserve">sprva </w:t>
      </w:r>
      <w:r w:rsidR="008F7FEC">
        <w:t>zm</w:t>
      </w:r>
      <w:r w:rsidR="00234F2F">
        <w:t>an</w:t>
      </w:r>
      <w:r w:rsidR="00606612">
        <w:t>j</w:t>
      </w:r>
      <w:r w:rsidR="00234F2F">
        <w:t>ševalo</w:t>
      </w:r>
      <w:r w:rsidR="008F7FEC">
        <w:t xml:space="preserve"> </w:t>
      </w:r>
      <w:r w:rsidR="00ED545E">
        <w:t>zaradi negativnega selitvenega</w:t>
      </w:r>
      <w:r w:rsidR="00AD3DA6">
        <w:t xml:space="preserve"> prirasta*</w:t>
      </w:r>
      <w:r w:rsidR="00ED545E">
        <w:t xml:space="preserve">, </w:t>
      </w:r>
      <w:r w:rsidR="002470C2">
        <w:t xml:space="preserve">nato </w:t>
      </w:r>
      <w:r w:rsidR="00ED545E">
        <w:t xml:space="preserve">pa </w:t>
      </w:r>
      <w:r w:rsidR="002470C2">
        <w:t xml:space="preserve">zaradi </w:t>
      </w:r>
      <w:r w:rsidR="00ED545E">
        <w:t>razmeroma dolgega obdobja negativnega naravnega prirasta</w:t>
      </w:r>
      <w:r w:rsidR="00E3563A">
        <w:t>*</w:t>
      </w:r>
      <w:r w:rsidR="008A1E49">
        <w:t>.</w:t>
      </w:r>
      <w:r w:rsidR="00ED545E">
        <w:t xml:space="preserve"> </w:t>
      </w:r>
      <w:r w:rsidR="000D7520">
        <w:t xml:space="preserve">Prvič je število prebivalcev preseglo dva milijona sredi leta 2005. </w:t>
      </w:r>
      <w:r w:rsidR="00CA210B">
        <w:t xml:space="preserve">Število prebivalcev se </w:t>
      </w:r>
      <w:r w:rsidR="004302C4">
        <w:t xml:space="preserve">je </w:t>
      </w:r>
      <w:r w:rsidR="00CA210B">
        <w:t>povečevalo predvsem zaradi selitvenega prirasta tujih državljanov</w:t>
      </w:r>
      <w:r w:rsidR="00BE0389">
        <w:t xml:space="preserve"> </w:t>
      </w:r>
      <w:r w:rsidR="00BE0389" w:rsidRPr="002470C2">
        <w:t>(</w:t>
      </w:r>
      <w:r w:rsidR="003C411F">
        <w:t xml:space="preserve">gl. </w:t>
      </w:r>
      <w:r w:rsidR="00B201E4">
        <w:t>slik</w:t>
      </w:r>
      <w:r w:rsidR="003C411F">
        <w:t>o</w:t>
      </w:r>
      <w:r w:rsidR="00B201E4">
        <w:t xml:space="preserve"> 3</w:t>
      </w:r>
      <w:r w:rsidR="000E38A1" w:rsidRPr="002470C2">
        <w:t>)</w:t>
      </w:r>
      <w:r w:rsidR="00CC7776">
        <w:t xml:space="preserve">. </w:t>
      </w:r>
      <w:r w:rsidR="006A1E8B">
        <w:t xml:space="preserve">Število </w:t>
      </w:r>
      <w:r w:rsidR="00D7508C">
        <w:t>teh</w:t>
      </w:r>
      <w:r w:rsidR="006A1E8B">
        <w:t xml:space="preserve"> se je v zadnjih letih precej povečalo</w:t>
      </w:r>
      <w:r w:rsidR="00696C6E">
        <w:t>,</w:t>
      </w:r>
      <w:r w:rsidR="006A1E8B">
        <w:t xml:space="preserve"> </w:t>
      </w:r>
      <w:r w:rsidR="00637E12">
        <w:t>1. 4. 2008 je bilo med prebivalci Slovenije 58 tisoč oz. 2,9 %</w:t>
      </w:r>
      <w:r w:rsidR="00637E12" w:rsidRPr="00637E12">
        <w:t xml:space="preserve"> </w:t>
      </w:r>
      <w:r w:rsidR="00637E12">
        <w:t xml:space="preserve">tujih državljanov, </w:t>
      </w:r>
      <w:r w:rsidR="006A1E8B">
        <w:t>1. 1. 202</w:t>
      </w:r>
      <w:r w:rsidR="003D5249">
        <w:t>3</w:t>
      </w:r>
      <w:r w:rsidR="00637E12">
        <w:t xml:space="preserve"> pa</w:t>
      </w:r>
      <w:r w:rsidR="006A1E8B">
        <w:t xml:space="preserve"> </w:t>
      </w:r>
      <w:r w:rsidR="00696C6E">
        <w:t xml:space="preserve">190 tisoč oz. </w:t>
      </w:r>
      <w:r w:rsidR="00E5376A">
        <w:t>9,0</w:t>
      </w:r>
      <w:r w:rsidR="006A1E8B">
        <w:t xml:space="preserve"> %. </w:t>
      </w:r>
      <w:r w:rsidR="002B3FBD" w:rsidRPr="002B3FBD">
        <w:t>V začetku leta 2022</w:t>
      </w:r>
      <w:r w:rsidR="00680282" w:rsidRPr="002B3FBD">
        <w:t xml:space="preserve"> smo</w:t>
      </w:r>
      <w:r w:rsidR="009428EA" w:rsidRPr="002B3FBD">
        <w:t xml:space="preserve"> beležili majhen upad</w:t>
      </w:r>
      <w:r w:rsidR="00BE0389" w:rsidRPr="002B3FBD">
        <w:t xml:space="preserve"> števila prebivalcev zaradi </w:t>
      </w:r>
      <w:r w:rsidR="009428EA" w:rsidRPr="002B3FBD">
        <w:t>visokega števila smrti</w:t>
      </w:r>
      <w:r w:rsidR="00BE0389" w:rsidRPr="002B3FBD">
        <w:t xml:space="preserve"> zaradi </w:t>
      </w:r>
      <w:r w:rsidR="000907BF">
        <w:t xml:space="preserve">epidemije </w:t>
      </w:r>
      <w:r w:rsidR="00BE0389" w:rsidRPr="002B3FBD">
        <w:t>covid</w:t>
      </w:r>
      <w:r w:rsidR="000907BF">
        <w:t>a</w:t>
      </w:r>
      <w:r w:rsidR="00BE0389" w:rsidRPr="002B3FBD">
        <w:t>-19</w:t>
      </w:r>
      <w:r w:rsidR="002B3FBD" w:rsidRPr="002B3FBD">
        <w:t xml:space="preserve"> </w:t>
      </w:r>
      <w:r w:rsidR="00637E12">
        <w:t>v letih</w:t>
      </w:r>
      <w:r w:rsidR="002B3FBD" w:rsidRPr="002B3FBD">
        <w:t xml:space="preserve"> 202</w:t>
      </w:r>
      <w:r w:rsidR="00F1481A">
        <w:t>0</w:t>
      </w:r>
      <w:r w:rsidR="002B3FBD" w:rsidRPr="002B3FBD">
        <w:t xml:space="preserve"> in 202</w:t>
      </w:r>
      <w:r w:rsidR="00F1481A">
        <w:t>1</w:t>
      </w:r>
      <w:r w:rsidR="00C47623">
        <w:t xml:space="preserve">, v začetku leta 2023 pa je bilo prebivalcev ponovno več kot pred letom, kar lahko </w:t>
      </w:r>
      <w:r w:rsidR="00D27919">
        <w:t>pripišemo</w:t>
      </w:r>
      <w:r w:rsidR="00C47623">
        <w:t xml:space="preserve"> visokemu selitvenemu prirastu leta 2022</w:t>
      </w:r>
      <w:r w:rsidR="00F10208">
        <w:t xml:space="preserve">, ki zajema tudi </w:t>
      </w:r>
      <w:r w:rsidR="00C52B87">
        <w:t>skoraj</w:t>
      </w:r>
      <w:r w:rsidR="00F10208">
        <w:t xml:space="preserve"> 6 tisoč državljanov Ukrajine</w:t>
      </w:r>
      <w:r w:rsidR="00C52B87">
        <w:t>, ki so v Slovenijo prispeli od začetka vojne</w:t>
      </w:r>
      <w:r w:rsidR="00965BBA" w:rsidRPr="006E7431">
        <w:rPr>
          <w:rStyle w:val="FootnoteReference"/>
        </w:rPr>
        <w:footnoteReference w:id="6"/>
      </w:r>
      <w:r w:rsidR="00965BBA">
        <w:t>.</w:t>
      </w:r>
    </w:p>
    <w:p w14:paraId="55C381CC" w14:textId="48F541DC" w:rsidR="00F71FB7" w:rsidRDefault="00F71FB7" w:rsidP="00B84C29">
      <w:pPr>
        <w:pStyle w:val="Caption"/>
      </w:pPr>
      <w:bookmarkStart w:id="20" w:name="_Ref138928023"/>
      <w:bookmarkStart w:id="21" w:name="_Toc146283021"/>
      <w:r>
        <w:t xml:space="preserve">Slika </w:t>
      </w:r>
      <w:r>
        <w:fldChar w:fldCharType="begin"/>
      </w:r>
      <w:r>
        <w:instrText xml:space="preserve"> SEQ Slika \* ARABIC </w:instrText>
      </w:r>
      <w:r>
        <w:fldChar w:fldCharType="separate"/>
      </w:r>
      <w:r w:rsidR="00B3724D">
        <w:t>2</w:t>
      </w:r>
      <w:r>
        <w:fldChar w:fldCharType="end"/>
      </w:r>
      <w:bookmarkEnd w:id="20"/>
      <w:r>
        <w:t xml:space="preserve">: </w:t>
      </w:r>
      <w:r w:rsidR="00173B59">
        <w:t>Na r</w:t>
      </w:r>
      <w:r>
        <w:t xml:space="preserve">ast števila prebivalcev v Sloveniji </w:t>
      </w:r>
      <w:r w:rsidR="00173B59">
        <w:t>močno vpliva</w:t>
      </w:r>
      <w:r>
        <w:t xml:space="preserve"> selitven</w:t>
      </w:r>
      <w:r w:rsidR="00173B59">
        <w:t>i</w:t>
      </w:r>
      <w:r>
        <w:t xml:space="preserve"> prirast, saj je naravni prirast zelo skromen, prvi je od leta 1991 znašal dobrih 137 tisoč oseb (čez 4 tisoč povprečno letno), drugi pa dobrih 5 tisoč (v povprečju manj kot 200</w:t>
      </w:r>
      <w:r w:rsidR="0029032C">
        <w:t xml:space="preserve"> letno</w:t>
      </w:r>
      <w:r>
        <w:t>)</w:t>
      </w:r>
      <w:bookmarkEnd w:id="21"/>
    </w:p>
    <w:p w14:paraId="004CE02F" w14:textId="5A8BB7AC" w:rsidR="00C9329E" w:rsidRPr="00C9329E" w:rsidRDefault="00C9329E" w:rsidP="007E0D40">
      <w:pPr>
        <w:pStyle w:val="BesediloUMAR"/>
      </w:pPr>
      <w:r w:rsidRPr="00C9329E">
        <w:rPr>
          <w:noProof/>
        </w:rPr>
        <w:drawing>
          <wp:inline distT="0" distB="0" distL="0" distR="0" wp14:anchorId="097986D1" wp14:editId="7DF76E75">
            <wp:extent cx="5759450" cy="215328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153285"/>
                    </a:xfrm>
                    <a:prstGeom prst="rect">
                      <a:avLst/>
                    </a:prstGeom>
                    <a:noFill/>
                    <a:ln>
                      <a:noFill/>
                    </a:ln>
                  </pic:spPr>
                </pic:pic>
              </a:graphicData>
            </a:graphic>
          </wp:inline>
        </w:drawing>
      </w:r>
    </w:p>
    <w:p w14:paraId="48574547" w14:textId="4BCE798A" w:rsidR="00F71FB7" w:rsidRDefault="00F71FB7" w:rsidP="00F71FB7">
      <w:pPr>
        <w:pStyle w:val="BesediloUMAR"/>
      </w:pPr>
    </w:p>
    <w:p w14:paraId="4586EC09" w14:textId="0F863B55" w:rsidR="000839B7" w:rsidRDefault="00F71FB7" w:rsidP="003A0B06">
      <w:pPr>
        <w:pStyle w:val="VirUMAR"/>
      </w:pPr>
      <w:r w:rsidRPr="00B916E7">
        <w:t xml:space="preserve">Vir: </w:t>
      </w:r>
      <w:r w:rsidR="000839B7">
        <w:fldChar w:fldCharType="begin"/>
      </w:r>
      <w:r w:rsidR="000839B7">
        <w:instrText xml:space="preserve"> ADDIN ZOTERO_ITEM CSL_CITATION {"citationID":"YuSgHm45","properties":{"custom":"SURS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rsidR="000839B7">
        <w:fldChar w:fldCharType="separate"/>
      </w:r>
      <w:r w:rsidR="000839B7" w:rsidRPr="000839B7">
        <w:t>SURS (2023)</w:t>
      </w:r>
      <w:r w:rsidR="000839B7">
        <w:fldChar w:fldCharType="end"/>
      </w:r>
      <w:r w:rsidR="000839B7">
        <w:t>.</w:t>
      </w:r>
    </w:p>
    <w:p w14:paraId="4271F67B" w14:textId="05242E8F" w:rsidR="009167B7" w:rsidRDefault="00F71FB7" w:rsidP="003A0B06">
      <w:pPr>
        <w:pStyle w:val="VirUMAR"/>
      </w:pPr>
      <w:r>
        <w:t>Opomba:</w:t>
      </w:r>
      <w:r w:rsidR="00D30A7A">
        <w:t xml:space="preserve"> Spremembe definicije prebivalstva so se zgodile leta 1996, 2008 in 2010.</w:t>
      </w:r>
      <w:r>
        <w:t xml:space="preserve"> </w:t>
      </w:r>
      <w:r w:rsidR="003A0B06">
        <w:t>Podatki, pripravljeni v skladu z različnimi definicijami, zato niso vedno neposredno primerljivi med seboj</w:t>
      </w:r>
      <w:r w:rsidR="00D30A7A">
        <w:t xml:space="preserve"> </w:t>
      </w:r>
      <w:r w:rsidR="00D30A7A" w:rsidRPr="00AC7660">
        <w:fldChar w:fldCharType="begin"/>
      </w:r>
      <w:r w:rsidR="00412DF0">
        <w:instrText xml:space="preserve"> ADDIN ZOTERO_ITEM CSL_CITATION {"citationID":"T0CNUDjL","properties":{"formattedCitation":"(Razpotnik, 2021a)","plainCitation":"(Razpotnik, 2021a)","dontUpdate":true,"noteIndex":0},"citationItems":[{"id":3862,"uris":["http://zotero.org/users/8040504/items/EH4Z3NF6"],"itemData":{"id":3862,"type":"document","language":"sl","publisher":"Statistični urad RS.","source":"Zotero","title":"Prebivalstvo. Metodološko pojasnilo.","URL":"https://www.stat.si/statweb/File/DocSysFile/7808","author":[{"family":"Razpotnik","given":"Barica"}],"issued":{"date-parts":[["2021"]]}}}],"schema":"https://github.com/citation-style-language/schema/raw/master/csl-citation.json"} </w:instrText>
      </w:r>
      <w:r w:rsidR="00D30A7A" w:rsidRPr="00AC7660">
        <w:fldChar w:fldCharType="separate"/>
      </w:r>
      <w:r w:rsidR="00D30A7A" w:rsidRPr="00AC7660">
        <w:t>(več gl. Razpotnik, 2021a</w:t>
      </w:r>
      <w:r w:rsidR="00D30A7A" w:rsidRPr="00AC7660">
        <w:fldChar w:fldCharType="end"/>
      </w:r>
      <w:r w:rsidR="00D30A7A" w:rsidRPr="00AC7660">
        <w:t xml:space="preserve">, str. </w:t>
      </w:r>
      <w:r w:rsidR="00D30A7A" w:rsidRPr="00E63F1D">
        <w:t>7</w:t>
      </w:r>
      <w:r w:rsidR="00630178" w:rsidRPr="00E63F1D">
        <w:t xml:space="preserve"> oz. </w:t>
      </w:r>
      <w:r w:rsidR="00630178" w:rsidRPr="002E7B0A">
        <w:fldChar w:fldCharType="begin"/>
      </w:r>
      <w:r w:rsidR="00630178" w:rsidRPr="002E7B0A">
        <w:instrText xml:space="preserve"> REF _Ref138749455 \h  \* MERGEFORMAT </w:instrText>
      </w:r>
      <w:r w:rsidR="00630178" w:rsidRPr="002E7B0A">
        <w:fldChar w:fldCharType="separate"/>
      </w:r>
      <w:r w:rsidR="00B3724D" w:rsidRPr="00B3724D">
        <w:t>Terminološki slovarček</w:t>
      </w:r>
      <w:r w:rsidR="00630178" w:rsidRPr="002E7B0A">
        <w:fldChar w:fldCharType="end"/>
      </w:r>
      <w:r w:rsidR="00A002AC" w:rsidRPr="002E7B0A">
        <w:t xml:space="preserve"> zadaj</w:t>
      </w:r>
      <w:r w:rsidR="009167B7">
        <w:t>)</w:t>
      </w:r>
      <w:r w:rsidR="00FA70EB" w:rsidRPr="00FA70EB">
        <w:t xml:space="preserve">. </w:t>
      </w:r>
    </w:p>
    <w:p w14:paraId="240AF607" w14:textId="6D4AC36B" w:rsidR="00F71FB7" w:rsidRDefault="007B3323" w:rsidP="00B64878">
      <w:pPr>
        <w:pStyle w:val="VirUMAR"/>
      </w:pPr>
      <w:r w:rsidRPr="007B3323">
        <w:t>Visoko število priseljenih (zlasti državljanov Slovenije) v tretjem četrtletju 2020 je predvsem posledica administrativnega urejanja registra v skladu z Zakonom o prijavi prebivališča (Uradni list RS, št. 52/16).</w:t>
      </w:r>
      <w:r w:rsidR="00B64878">
        <w:t xml:space="preserve"> SURS je s pomočjo različnih dodatnih podatkovnih virov, zlasti tistih, ki določajo status aktivnosti posameznika in po katerih sklepamo o dejanskem prebivanju osebe v Sloveniji, med prebivalce Slovenije uvrstil </w:t>
      </w:r>
      <w:r w:rsidR="00F95FF7">
        <w:t>nekaj manj kot</w:t>
      </w:r>
      <w:r w:rsidR="00B64878">
        <w:t xml:space="preserve"> 7500 teh oseb (97 % državljanov Slovenije in 3 % tujih državljanov). Večina teh prebivalcev se je najverjetneje vrnila iz tujine že pred leti ali celo desetletji, a tega iz različnih razlogov niso prijavili na upravni enoti</w:t>
      </w:r>
      <w:r w:rsidR="00F95FF7">
        <w:t xml:space="preserve"> (gl. </w:t>
      </w:r>
      <w:r w:rsidR="007E7631">
        <w:fldChar w:fldCharType="begin"/>
      </w:r>
      <w:r w:rsidR="007E7631">
        <w:instrText xml:space="preserve"> ADDIN ZOTERO_ITEM CSL_CITATION {"citationID":"ubNFMZdx","properties":{"custom":"Razpotnik idr., 2021 in","formattedCitation":"Razpotnik idr., 2021 in","plainCitation":"Razpotnik idr., 2021 in","noteIndex":0},"citationItems":[{"id":3857,"uris":["http://zotero.org/users/8040504/items/JD9DEJ82"],"itemData":{"id":3857,"type":"document","title":"Demografski dogodki, Slovenija, 3. četrtletje 2020. V 3. četrtletju leta 2020 pozitivna naravni in selitveni prirast. Začasni podatki.","URL":"https://www.stat.si/StatWeb/News/Index/9353","author":[{"family":"Razpotnik","given":"Barica"},{"family":"Šter","given":"Darja"},{"family":"Žnidaršič","given":"Martina"}],"issued":{"date-parts":[["2021",1,29]]}}}],"schema":"https://github.com/citation-style-language/schema/raw/master/csl-citation.json"} </w:instrText>
      </w:r>
      <w:r w:rsidR="007E7631">
        <w:fldChar w:fldCharType="separate"/>
      </w:r>
      <w:r w:rsidR="007E7631" w:rsidRPr="007E7631">
        <w:t>Razpotnik idr., 2021 in</w:t>
      </w:r>
      <w:r w:rsidR="007E7631">
        <w:fldChar w:fldCharType="end"/>
      </w:r>
      <w:r w:rsidR="007E7631">
        <w:t xml:space="preserve"> </w:t>
      </w:r>
      <w:r w:rsidR="007E7631">
        <w:fldChar w:fldCharType="begin"/>
      </w:r>
      <w:r w:rsidR="007E7631">
        <w:instrText xml:space="preserve"> ADDIN ZOTERO_ITEM CSL_CITATION {"citationID":"XVmam0Ox","properties":{"custom":"Razpotnik, 2021)","formattedCitation":"Razpotnik, 2021)","plainCitation":"Razpotnik, 2021)","noteIndex":0},"citationItems":[{"id":3858,"uris":["http://zotero.org/users/8040504/items/KEC56WCS"],"itemData":{"id":3858,"type":"document","title":"Prebivalstvo, Slovenija, 1. oktober 2020. 1. oktobra 2020 v Sloveniji 2.111.461 prebivalcev ali 0,5 % več kot tri mesece prej. Končni podatki.","URL":"https://www.stat.si/StatWeb/News/Index/9347","author":[{"family":"Razpotnik","given":"Barica"}],"issued":{"date-parts":[["2021",1,29]]}}}],"schema":"https://github.com/citation-style-language/schema/raw/master/csl-citation.json"} </w:instrText>
      </w:r>
      <w:r w:rsidR="007E7631">
        <w:fldChar w:fldCharType="separate"/>
      </w:r>
      <w:r w:rsidR="007E7631" w:rsidRPr="007E7631">
        <w:t>Razpotnik, 2021)</w:t>
      </w:r>
      <w:r w:rsidR="007E7631">
        <w:fldChar w:fldCharType="end"/>
      </w:r>
      <w:r w:rsidR="00B64878">
        <w:t>.</w:t>
      </w:r>
    </w:p>
    <w:p w14:paraId="0C3AF7BB" w14:textId="232EE21A" w:rsidR="00237447" w:rsidRDefault="00237447" w:rsidP="001A798D">
      <w:pPr>
        <w:pStyle w:val="BesediloUMAR"/>
      </w:pPr>
    </w:p>
    <w:p w14:paraId="41C155C9" w14:textId="10DC76B4" w:rsidR="007331B9" w:rsidRDefault="007331B9" w:rsidP="00B84C29">
      <w:pPr>
        <w:pStyle w:val="Caption"/>
      </w:pPr>
      <w:bookmarkStart w:id="22" w:name="_Ref138082303"/>
      <w:bookmarkStart w:id="23" w:name="_Toc146283022"/>
      <w:r>
        <w:lastRenderedPageBreak/>
        <w:t xml:space="preserve">Slika </w:t>
      </w:r>
      <w:r>
        <w:fldChar w:fldCharType="begin"/>
      </w:r>
      <w:r>
        <w:instrText xml:space="preserve"> SEQ Slika \* ARABIC </w:instrText>
      </w:r>
      <w:r>
        <w:fldChar w:fldCharType="separate"/>
      </w:r>
      <w:r w:rsidR="00B3724D">
        <w:t>3</w:t>
      </w:r>
      <w:r>
        <w:fldChar w:fldCharType="end"/>
      </w:r>
      <w:bookmarkEnd w:id="22"/>
      <w:r>
        <w:t>: Delež tujcev med prebivalci Slovenije se povečuje</w:t>
      </w:r>
      <w:bookmarkEnd w:id="23"/>
    </w:p>
    <w:p w14:paraId="3104D91C" w14:textId="77777777" w:rsidR="007331B9" w:rsidRDefault="007331B9" w:rsidP="007331B9">
      <w:pPr>
        <w:pStyle w:val="BesediloUMAR"/>
      </w:pPr>
      <w:r w:rsidRPr="000B5215">
        <w:rPr>
          <w:noProof/>
        </w:rPr>
        <w:drawing>
          <wp:inline distT="0" distB="0" distL="0" distR="0" wp14:anchorId="54D23ADE" wp14:editId="202945C5">
            <wp:extent cx="5759450" cy="1846250"/>
            <wp:effectExtent l="0" t="0" r="0" b="190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846250"/>
                    </a:xfrm>
                    <a:prstGeom prst="rect">
                      <a:avLst/>
                    </a:prstGeom>
                    <a:noFill/>
                    <a:ln>
                      <a:noFill/>
                    </a:ln>
                  </pic:spPr>
                </pic:pic>
              </a:graphicData>
            </a:graphic>
          </wp:inline>
        </w:drawing>
      </w:r>
    </w:p>
    <w:p w14:paraId="6FDEE3B3" w14:textId="12DAE05C" w:rsidR="007331B9" w:rsidRDefault="007331B9" w:rsidP="00763AD6">
      <w:pPr>
        <w:pStyle w:val="VirUMAR"/>
      </w:pPr>
      <w:r w:rsidRPr="00763AD6">
        <w:t xml:space="preserve">Vir: </w:t>
      </w:r>
      <w:r w:rsidRPr="00763AD6">
        <w:fldChar w:fldCharType="begin"/>
      </w:r>
      <w:r w:rsidRPr="00763AD6">
        <w:instrText xml:space="preserve"> ADDIN ZOTERO_ITEM CSL_CITATION {"citationID":"uXIVLjuZ","properties":{"custom":"SURS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rsidRPr="00763AD6">
        <w:fldChar w:fldCharType="separate"/>
      </w:r>
      <w:r w:rsidRPr="00763AD6">
        <w:t>SURS (2023)</w:t>
      </w:r>
      <w:r w:rsidRPr="00763AD6">
        <w:fldChar w:fldCharType="end"/>
      </w:r>
      <w:r w:rsidRPr="00763AD6">
        <w:t>.</w:t>
      </w:r>
      <w:r w:rsidR="00763AD6" w:rsidRPr="00763AD6">
        <w:t xml:space="preserve"> </w:t>
      </w:r>
      <w:r w:rsidRPr="00763AD6">
        <w:t>Opomba: za leto 2008 na dan 1. 4., za ostala leta na dan 1. 1.</w:t>
      </w:r>
    </w:p>
    <w:p w14:paraId="71DDD70D" w14:textId="77777777" w:rsidR="00831A62" w:rsidRPr="00763AD6" w:rsidRDefault="00831A62" w:rsidP="00763AD6">
      <w:pPr>
        <w:pStyle w:val="VirUMAR"/>
      </w:pPr>
    </w:p>
    <w:p w14:paraId="58A4B505" w14:textId="77777777" w:rsidR="007331B9" w:rsidRDefault="007331B9" w:rsidP="001A798D">
      <w:pPr>
        <w:pStyle w:val="BesediloUMAR"/>
      </w:pPr>
    </w:p>
    <w:p w14:paraId="718A2A07" w14:textId="14A5F0F3" w:rsidR="009C1AAB" w:rsidRDefault="001C57FA" w:rsidP="001D0E4F">
      <w:pPr>
        <w:pStyle w:val="BesediloUMAR"/>
      </w:pPr>
      <w:r w:rsidRPr="005767E7">
        <w:rPr>
          <w:rStyle w:val="VodilnistavekUMAR"/>
        </w:rPr>
        <w:t xml:space="preserve">Zaradi upadanja rojstev, zmanjševanja umrljivosti in s tem podaljševanja življenja se spreminja starostna </w:t>
      </w:r>
      <w:r w:rsidR="00F06B08">
        <w:rPr>
          <w:rStyle w:val="VodilnistavekUMAR"/>
        </w:rPr>
        <w:t>struktura</w:t>
      </w:r>
      <w:r w:rsidRPr="005767E7">
        <w:rPr>
          <w:rStyle w:val="VodilnistavekUMAR"/>
        </w:rPr>
        <w:t xml:space="preserve"> prebival</w:t>
      </w:r>
      <w:r w:rsidR="00F402EA" w:rsidRPr="005767E7">
        <w:rPr>
          <w:rStyle w:val="VodilnistavekUMAR"/>
        </w:rPr>
        <w:t>cev</w:t>
      </w:r>
      <w:r w:rsidR="00835662">
        <w:rPr>
          <w:rStyle w:val="VodilnistavekUMAR"/>
        </w:rPr>
        <w:t xml:space="preserve">. </w:t>
      </w:r>
      <w:r w:rsidR="006348E1">
        <w:t>V</w:t>
      </w:r>
      <w:r w:rsidR="003B3E39" w:rsidRPr="00602A3D">
        <w:t xml:space="preserve"> začetku leta 1982 je bilo v Sloveniji </w:t>
      </w:r>
      <w:r w:rsidR="00CF57B6">
        <w:t>dvakrat</w:t>
      </w:r>
      <w:r w:rsidR="003B3E39" w:rsidRPr="00602A3D">
        <w:t xml:space="preserve"> več otrok</w:t>
      </w:r>
      <w:r w:rsidR="00E05B71">
        <w:t xml:space="preserve"> (0–14 let)</w:t>
      </w:r>
      <w:r w:rsidR="0014614A">
        <w:t>*</w:t>
      </w:r>
      <w:r w:rsidR="003B3E39" w:rsidRPr="00602A3D">
        <w:t xml:space="preserve"> kot starejših od 65 let</w:t>
      </w:r>
      <w:r w:rsidR="00D92283">
        <w:t xml:space="preserve"> in </w:t>
      </w:r>
      <w:r w:rsidR="00E05B71">
        <w:t>2,8-krat več mladih (0</w:t>
      </w:r>
      <w:r w:rsidR="00A002AC">
        <w:t>–</w:t>
      </w:r>
      <w:r w:rsidR="00E05B71">
        <w:t>19 let)</w:t>
      </w:r>
      <w:r w:rsidR="00A002AC">
        <w:t>*</w:t>
      </w:r>
      <w:r w:rsidR="00E05B71">
        <w:t>.</w:t>
      </w:r>
      <w:r w:rsidR="00602A3D">
        <w:t xml:space="preserve"> </w:t>
      </w:r>
      <w:r w:rsidR="0028603A">
        <w:t>V</w:t>
      </w:r>
      <w:r w:rsidR="00E05B71">
        <w:t xml:space="preserve"> začetku leta 2022 pa je</w:t>
      </w:r>
      <w:r w:rsidR="00173B59">
        <w:t xml:space="preserve"> bilo</w:t>
      </w:r>
      <w:r w:rsidR="00E05B71">
        <w:t xml:space="preserve"> starejših</w:t>
      </w:r>
      <w:r w:rsidR="007D4259">
        <w:t xml:space="preserve"> </w:t>
      </w:r>
      <w:r w:rsidR="00E05B71">
        <w:t>40 % več kot otrok</w:t>
      </w:r>
      <w:r w:rsidR="00BB7C63">
        <w:t xml:space="preserve"> (</w:t>
      </w:r>
      <w:r w:rsidR="00171E86">
        <w:t>indeks staranja*)</w:t>
      </w:r>
      <w:r w:rsidR="00E05B71">
        <w:t xml:space="preserve"> </w:t>
      </w:r>
      <w:r w:rsidR="00BB63BC">
        <w:t xml:space="preserve">in skoraj 8 % več kot mladih. Ob koncu </w:t>
      </w:r>
      <w:r w:rsidR="00603086">
        <w:t xml:space="preserve">obdobja </w:t>
      </w:r>
      <w:r w:rsidR="00BB63BC">
        <w:t xml:space="preserve">projekcije </w:t>
      </w:r>
      <w:r w:rsidR="004445AC">
        <w:t>naj bi bilo</w:t>
      </w:r>
      <w:r w:rsidR="00BB63BC">
        <w:t xml:space="preserve"> starejših </w:t>
      </w:r>
      <w:r w:rsidR="006A461D">
        <w:t>2,5-krat več kot otrok</w:t>
      </w:r>
      <w:r w:rsidR="00603086">
        <w:t xml:space="preserve"> in 1,8-krat več kot mladih</w:t>
      </w:r>
      <w:r w:rsidR="000F6E12">
        <w:t xml:space="preserve"> </w:t>
      </w:r>
      <w:r w:rsidR="000F6E12" w:rsidRPr="00903AAE">
        <w:t>(</w:t>
      </w:r>
      <w:r w:rsidR="000F6E12" w:rsidRPr="002131A6">
        <w:t xml:space="preserve">gl. </w:t>
      </w:r>
      <w:r w:rsidR="00903AAE" w:rsidRPr="002131A6">
        <w:t>sliko 4</w:t>
      </w:r>
      <w:r w:rsidR="00CF57B6" w:rsidRPr="002131A6">
        <w:t>, desno</w:t>
      </w:r>
      <w:r w:rsidR="000F6E12">
        <w:t>)</w:t>
      </w:r>
      <w:r w:rsidR="00603086">
        <w:t xml:space="preserve">. </w:t>
      </w:r>
      <w:r w:rsidR="00D955B6">
        <w:t>Delež mladih se je tako v preteklosti že zelo zmanjšal</w:t>
      </w:r>
      <w:r w:rsidR="0000131A">
        <w:t xml:space="preserve">, </w:t>
      </w:r>
      <w:r w:rsidR="00BB7C63">
        <w:t>s</w:t>
      </w:r>
      <w:r w:rsidR="0000131A">
        <w:t xml:space="preserve"> 30 % leta 1982 </w:t>
      </w:r>
      <w:r w:rsidR="0000131A" w:rsidRPr="004241DE">
        <w:t>je v 40</w:t>
      </w:r>
      <w:r w:rsidR="00CF57B6" w:rsidRPr="005E0FA1">
        <w:t xml:space="preserve"> </w:t>
      </w:r>
      <w:r w:rsidR="0000131A" w:rsidRPr="00C908D5">
        <w:t>letih</w:t>
      </w:r>
      <w:r w:rsidR="0000131A">
        <w:t xml:space="preserve"> upadel na 19,6 %, leta 2100 pa naj bi bil 17,7 %.</w:t>
      </w:r>
      <w:r w:rsidR="00943D4A">
        <w:t xml:space="preserve"> Večje bodo v prihodnosti </w:t>
      </w:r>
      <w:r w:rsidR="00EA29DD">
        <w:t xml:space="preserve">spremembe pri </w:t>
      </w:r>
      <w:r w:rsidR="00CF57B6">
        <w:t xml:space="preserve">deležih </w:t>
      </w:r>
      <w:r w:rsidR="00EA29DD">
        <w:t>delovno sposobnih</w:t>
      </w:r>
      <w:r w:rsidR="00EF56A4">
        <w:t xml:space="preserve"> (20–64 let)</w:t>
      </w:r>
      <w:r w:rsidR="00EA29DD">
        <w:t xml:space="preserve"> in starejših</w:t>
      </w:r>
      <w:r w:rsidR="00EF56A4">
        <w:t xml:space="preserve"> od 65 let</w:t>
      </w:r>
      <w:r w:rsidR="00891540">
        <w:t xml:space="preserve"> (gl. slika 4, levo)</w:t>
      </w:r>
      <w:r w:rsidR="00EA29DD">
        <w:t xml:space="preserve">. </w:t>
      </w:r>
      <w:r w:rsidR="00F41240">
        <w:t>Razmerje med tema dvema skupinama prebivalcev</w:t>
      </w:r>
      <w:r w:rsidR="00891540">
        <w:t xml:space="preserve"> (koeficient starostne odvisnosti starejših*)</w:t>
      </w:r>
      <w:r w:rsidR="00EA29DD">
        <w:t xml:space="preserve"> </w:t>
      </w:r>
      <w:r w:rsidR="002263AB">
        <w:t xml:space="preserve">kaže, </w:t>
      </w:r>
      <w:r w:rsidR="00174DD7">
        <w:t xml:space="preserve">kakšno bo razmerje med tistimi, ki so (večinoma) končali svojo </w:t>
      </w:r>
      <w:r w:rsidR="00173B59">
        <w:t xml:space="preserve">delovno </w:t>
      </w:r>
      <w:r w:rsidR="00174DD7">
        <w:t>aktivno pot</w:t>
      </w:r>
      <w:r w:rsidR="00523FEB">
        <w:t>,</w:t>
      </w:r>
      <w:r w:rsidR="00174DD7">
        <w:t xml:space="preserve"> in tistimi, ki so sposobni</w:t>
      </w:r>
      <w:r w:rsidR="00730BBE">
        <w:t xml:space="preserve"> za delo</w:t>
      </w:r>
      <w:r w:rsidR="00CC1323">
        <w:t xml:space="preserve"> –</w:t>
      </w:r>
      <w:r w:rsidR="0064201B">
        <w:t xml:space="preserve"> torej med potencialnimi upokojenci in potencialnimi plačniki </w:t>
      </w:r>
      <w:r w:rsidR="00FD745E">
        <w:t xml:space="preserve">davkov in </w:t>
      </w:r>
      <w:r w:rsidR="0064201B">
        <w:t>socialnih prispevkov</w:t>
      </w:r>
      <w:r w:rsidR="00CC1323">
        <w:t xml:space="preserve"> –</w:t>
      </w:r>
      <w:r w:rsidR="00FD745E">
        <w:t xml:space="preserve"> in je tisto, ki narekuje bodoče </w:t>
      </w:r>
      <w:r w:rsidR="00F71B80">
        <w:t xml:space="preserve">javnofinančne </w:t>
      </w:r>
      <w:r w:rsidR="00306D8D">
        <w:t xml:space="preserve">prihodke </w:t>
      </w:r>
      <w:r w:rsidR="00F71B80">
        <w:t>in</w:t>
      </w:r>
      <w:r w:rsidR="00306D8D">
        <w:t xml:space="preserve"> </w:t>
      </w:r>
      <w:r w:rsidR="00FD745E">
        <w:t>izdatke za pokojnine, zdravstvo in dolgotrajno oskrbo</w:t>
      </w:r>
      <w:r w:rsidR="00306D8D">
        <w:t>.</w:t>
      </w:r>
      <w:r w:rsidR="00C769FB">
        <w:t xml:space="preserve"> </w:t>
      </w:r>
      <w:r w:rsidR="00C769FB" w:rsidRPr="00335E04">
        <w:t>Delež starejših od 65 let se bo do leta 2100 povečal na 32,1 % vseh prebivalcev (1991: 10,8 %; 2022: 21,1 %), delež starejših od 80 let</w:t>
      </w:r>
      <w:r w:rsidR="00194B8A">
        <w:t xml:space="preserve"> </w:t>
      </w:r>
      <w:r w:rsidR="00D05BEA">
        <w:t xml:space="preserve">pa </w:t>
      </w:r>
      <w:r w:rsidR="00C769FB" w:rsidRPr="00335E04">
        <w:t xml:space="preserve">na 15,4 % vseh prebivalcev (1991: 2,3 %; 2022: 5,6 %). Delež delovno sposobnih se bo zmanjšal na 50,2 % (1991: 61,3 %, 2022: 59,3 %; najvišji je bil v obdobju 2005–2012: 64,2 %). </w:t>
      </w:r>
      <w:r w:rsidR="00D05DC1">
        <w:t>Družba bo vse bolj obremenjena s skrbjo za starejše (gl. sliko 4, levo)</w:t>
      </w:r>
      <w:r w:rsidR="00427605">
        <w:t>, število starejših nad 85 let na 100 starih 50</w:t>
      </w:r>
      <w:r w:rsidR="00123558">
        <w:t>–</w:t>
      </w:r>
      <w:r w:rsidR="00427605">
        <w:t>64 let</w:t>
      </w:r>
      <w:r w:rsidR="0099485B">
        <w:t xml:space="preserve"> se bo več kot potrojilo</w:t>
      </w:r>
      <w:r w:rsidR="00427605">
        <w:t xml:space="preserve"> (koeficient vzdržavnosti staršev*</w:t>
      </w:r>
      <w:r w:rsidR="00D05595">
        <w:t>; gl. sliko 4, levo</w:t>
      </w:r>
      <w:r w:rsidR="00427605">
        <w:t>)</w:t>
      </w:r>
      <w:r w:rsidR="0099485B">
        <w:t>.</w:t>
      </w:r>
    </w:p>
    <w:p w14:paraId="7C9670CD" w14:textId="684BBD94" w:rsidR="00591BAA" w:rsidRPr="00445DAD" w:rsidRDefault="00591BAA" w:rsidP="00B84C29">
      <w:pPr>
        <w:pStyle w:val="Caption"/>
      </w:pPr>
      <w:bookmarkStart w:id="24" w:name="_Ref138758225"/>
      <w:bookmarkStart w:id="25" w:name="_Toc146283023"/>
      <w:bookmarkStart w:id="26" w:name="_Ref138663265"/>
      <w:bookmarkStart w:id="27" w:name="_Ref138663237"/>
      <w:r w:rsidRPr="00203E0D">
        <w:t xml:space="preserve">Slika </w:t>
      </w:r>
      <w:r w:rsidRPr="00203E0D">
        <w:fldChar w:fldCharType="begin"/>
      </w:r>
      <w:r w:rsidRPr="00203E0D">
        <w:instrText xml:space="preserve"> SEQ Slika \* ARABIC </w:instrText>
      </w:r>
      <w:r w:rsidRPr="00203E0D">
        <w:fldChar w:fldCharType="separate"/>
      </w:r>
      <w:r w:rsidR="00B3724D">
        <w:t>4</w:t>
      </w:r>
      <w:r w:rsidRPr="00203E0D">
        <w:fldChar w:fldCharType="end"/>
      </w:r>
      <w:bookmarkEnd w:id="24"/>
      <w:r w:rsidRPr="00203E0D">
        <w:t xml:space="preserve">: </w:t>
      </w:r>
      <w:r>
        <w:t>Koeficient starostne odvisnosti starejših se je po letu 2012 zelo povečal (slika levo),</w:t>
      </w:r>
      <w:r w:rsidR="004F2117" w:rsidDel="00320BB0">
        <w:t xml:space="preserve"> </w:t>
      </w:r>
      <w:r>
        <w:t>do leta 2100 bo skoraj 2,5-krat več starejših kot otrok (slika desno)</w:t>
      </w:r>
      <w:bookmarkEnd w:id="25"/>
    </w:p>
    <w:p w14:paraId="327254E5" w14:textId="6F2DAC0B" w:rsidR="00591BAA" w:rsidRPr="00E97278" w:rsidRDefault="00974C2C" w:rsidP="00E97278">
      <w:pPr>
        <w:pStyle w:val="BesediloUMAR"/>
      </w:pPr>
      <w:r w:rsidRPr="00974C2C">
        <w:rPr>
          <w:noProof/>
        </w:rPr>
        <w:drawing>
          <wp:inline distT="0" distB="0" distL="0" distR="0" wp14:anchorId="38B86989" wp14:editId="4DBC0750">
            <wp:extent cx="2772000" cy="227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000" cy="2271600"/>
                    </a:xfrm>
                    <a:prstGeom prst="rect">
                      <a:avLst/>
                    </a:prstGeom>
                    <a:noFill/>
                    <a:ln>
                      <a:noFill/>
                    </a:ln>
                  </pic:spPr>
                </pic:pic>
              </a:graphicData>
            </a:graphic>
          </wp:inline>
        </w:drawing>
      </w:r>
      <w:r w:rsidR="00513302">
        <w:t xml:space="preserve">    </w:t>
      </w:r>
      <w:r>
        <w:t xml:space="preserve">  </w:t>
      </w:r>
      <w:r w:rsidRPr="00974C2C">
        <w:rPr>
          <w:noProof/>
        </w:rPr>
        <w:drawing>
          <wp:inline distT="0" distB="0" distL="0" distR="0" wp14:anchorId="3E261653" wp14:editId="462E2652">
            <wp:extent cx="2772000" cy="227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2000" cy="2271600"/>
                    </a:xfrm>
                    <a:prstGeom prst="rect">
                      <a:avLst/>
                    </a:prstGeom>
                    <a:noFill/>
                    <a:ln>
                      <a:noFill/>
                    </a:ln>
                  </pic:spPr>
                </pic:pic>
              </a:graphicData>
            </a:graphic>
          </wp:inline>
        </w:drawing>
      </w:r>
      <w:r>
        <w:t xml:space="preserve"> </w:t>
      </w:r>
    </w:p>
    <w:p w14:paraId="672FA8BC" w14:textId="77777777" w:rsidR="00591BAA" w:rsidRPr="00482410" w:rsidRDefault="00591BAA" w:rsidP="00974C2C">
      <w:pPr>
        <w:pStyle w:val="VirUMAR"/>
      </w:pPr>
      <w:r w:rsidRPr="00482410">
        <w:t xml:space="preserve">Vir: </w:t>
      </w:r>
      <w:r>
        <w:fldChar w:fldCharType="begin"/>
      </w:r>
      <w:r>
        <w:instrText xml:space="preserve"> ADDIN ZOTERO_ITEM CSL_CITATION {"citationID":"yf9kLc6t","properties":{"custom":"SURS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fldChar w:fldCharType="separate"/>
      </w:r>
      <w:r w:rsidRPr="0041067E">
        <w:t>SURS (2023),</w:t>
      </w:r>
      <w:r>
        <w:fldChar w:fldCharType="end"/>
      </w:r>
      <w:r>
        <w:t xml:space="preserve"> </w:t>
      </w:r>
      <w:r>
        <w:fldChar w:fldCharType="begin"/>
      </w:r>
      <w:r>
        <w:instrText xml:space="preserve"> ADDIN ZOTERO_ITEM CSL_CITATION {"citationID":"pZVFfVT0","properties":{"custom":"Eurostat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fldChar w:fldCharType="separate"/>
      </w:r>
      <w:r w:rsidRPr="0041067E">
        <w:t>Eurostat (2023a)</w:t>
      </w:r>
      <w:r>
        <w:fldChar w:fldCharType="end"/>
      </w:r>
      <w:r>
        <w:t>.</w:t>
      </w:r>
    </w:p>
    <w:p w14:paraId="1DFAD626" w14:textId="02A727A9" w:rsidR="00C926D1" w:rsidRPr="00334BEA" w:rsidRDefault="00C926D1" w:rsidP="00334BEA">
      <w:pPr>
        <w:pStyle w:val="BesediloUMAR"/>
      </w:pPr>
    </w:p>
    <w:bookmarkEnd w:id="26"/>
    <w:bookmarkEnd w:id="27"/>
    <w:p w14:paraId="3D4287FD" w14:textId="77777777" w:rsidR="00831A62" w:rsidRDefault="00831A62" w:rsidP="00974C2C">
      <w:pPr>
        <w:pStyle w:val="VirUMAR"/>
      </w:pPr>
    </w:p>
    <w:p w14:paraId="0E7CF8B2" w14:textId="663341B4" w:rsidR="00510D58" w:rsidRDefault="00306D8D" w:rsidP="00510D58">
      <w:pPr>
        <w:pStyle w:val="BesediloUMAR"/>
      </w:pPr>
      <w:r w:rsidRPr="00335E04">
        <w:rPr>
          <w:rStyle w:val="VodilnistavekUMAR"/>
        </w:rPr>
        <w:lastRenderedPageBreak/>
        <w:t>S</w:t>
      </w:r>
      <w:r w:rsidR="00E65876" w:rsidRPr="00335E04">
        <w:rPr>
          <w:rStyle w:val="VodilnistavekUMAR"/>
        </w:rPr>
        <w:t xml:space="preserve">preminjanje razmerja med starejšimi in delovno sposobnimi bo v prihodnjih letih </w:t>
      </w:r>
      <w:r w:rsidR="002F3DD9" w:rsidRPr="00335E04">
        <w:rPr>
          <w:rStyle w:val="VodilnistavekUMAR"/>
        </w:rPr>
        <w:t xml:space="preserve">še </w:t>
      </w:r>
      <w:r w:rsidR="00E65876" w:rsidRPr="00335E04">
        <w:rPr>
          <w:rStyle w:val="VodilnistavekUMAR"/>
        </w:rPr>
        <w:t>intenzivnejše</w:t>
      </w:r>
      <w:r w:rsidR="00E65876" w:rsidRPr="00FE2987">
        <w:rPr>
          <w:rStyle w:val="VodilnistavekUMAR"/>
        </w:rPr>
        <w:t>.</w:t>
      </w:r>
      <w:r w:rsidR="001D0E4F">
        <w:rPr>
          <w:rStyle w:val="VodilnistavekUMAR"/>
        </w:rPr>
        <w:t xml:space="preserve"> </w:t>
      </w:r>
      <w:r w:rsidR="001D0E4F" w:rsidRPr="00FE2987">
        <w:t>Spreminjanje razmerja med starejšimi</w:t>
      </w:r>
      <w:r w:rsidR="00BD0F44">
        <w:t xml:space="preserve"> od 65 let</w:t>
      </w:r>
      <w:r w:rsidR="001D0E4F" w:rsidRPr="00FE2987">
        <w:t xml:space="preserve"> in delovno sposobnimi</w:t>
      </w:r>
      <w:r w:rsidR="00BD0F44">
        <w:t xml:space="preserve"> (20–64 let)</w:t>
      </w:r>
      <w:r w:rsidR="001D0E4F" w:rsidRPr="00FE2987">
        <w:t xml:space="preserve">, ki </w:t>
      </w:r>
      <w:r w:rsidR="007F5C36">
        <w:t xml:space="preserve">se </w:t>
      </w:r>
      <w:r w:rsidR="00580006">
        <w:t xml:space="preserve">je </w:t>
      </w:r>
      <w:r w:rsidR="001D0E4F" w:rsidRPr="00FE2987">
        <w:t>od leta 2012</w:t>
      </w:r>
      <w:r w:rsidR="007F5C36">
        <w:t xml:space="preserve"> zelo povečevalo</w:t>
      </w:r>
      <w:r w:rsidR="001D0E4F" w:rsidRPr="00FE2987">
        <w:t>, se bo pospešeno nadaljevalo še tri desetletja</w:t>
      </w:r>
      <w:r w:rsidR="007F5C36">
        <w:t xml:space="preserve"> </w:t>
      </w:r>
      <w:r w:rsidR="007F5C36" w:rsidRPr="00B0645D">
        <w:t>(</w:t>
      </w:r>
      <w:r w:rsidR="00AE20FE">
        <w:t>gl. sliko 4</w:t>
      </w:r>
      <w:r w:rsidR="007F5C36" w:rsidRPr="002E7B0A">
        <w:t>, levo)</w:t>
      </w:r>
      <w:r w:rsidR="001D0E4F" w:rsidRPr="00B0645D">
        <w:t>.</w:t>
      </w:r>
      <w:r w:rsidR="001D0E4F" w:rsidRPr="00FE2987">
        <w:t xml:space="preserve"> </w:t>
      </w:r>
      <w:r w:rsidR="002B7B1A">
        <w:t>Razmerje sicer raste že od 90</w:t>
      </w:r>
      <w:r w:rsidR="004241DE">
        <w:t>.</w:t>
      </w:r>
      <w:r w:rsidR="00597063" w:rsidDel="00597063">
        <w:t xml:space="preserve"> </w:t>
      </w:r>
      <w:r w:rsidR="002B7B1A">
        <w:t>let prejšnjega stoletja</w:t>
      </w:r>
      <w:r w:rsidR="006A4502">
        <w:t xml:space="preserve"> zaradi</w:t>
      </w:r>
      <w:r w:rsidR="002B7B1A">
        <w:t xml:space="preserve"> hitrejš</w:t>
      </w:r>
      <w:r w:rsidR="006A4502">
        <w:t>e</w:t>
      </w:r>
      <w:r w:rsidR="002B7B1A">
        <w:t xml:space="preserve"> rast</w:t>
      </w:r>
      <w:r w:rsidR="006A4502">
        <w:t>i</w:t>
      </w:r>
      <w:r w:rsidR="002B7B1A">
        <w:t xml:space="preserve"> </w:t>
      </w:r>
      <w:r w:rsidR="00E07C50">
        <w:t xml:space="preserve">starejših (nad 65 let) od delovno spodobnih (20–64 let). Od leta 2012 </w:t>
      </w:r>
      <w:r w:rsidR="003F09DF">
        <w:t xml:space="preserve">pa število slednjih </w:t>
      </w:r>
      <w:r w:rsidR="006A4502">
        <w:t xml:space="preserve">celo </w:t>
      </w:r>
      <w:r w:rsidR="003F09DF">
        <w:t>upada</w:t>
      </w:r>
      <w:r w:rsidR="00EC7B26">
        <w:t xml:space="preserve"> (gl. sliko </w:t>
      </w:r>
      <w:r w:rsidR="00FE4EB6">
        <w:t>5</w:t>
      </w:r>
      <w:r w:rsidR="00EC7B26">
        <w:t>)</w:t>
      </w:r>
      <w:r w:rsidR="003F09DF">
        <w:t>. To leto je namreč</w:t>
      </w:r>
      <w:r w:rsidR="001D0E4F" w:rsidRPr="00FE2987">
        <w:t xml:space="preserve"> </w:t>
      </w:r>
      <w:r w:rsidR="003F09DF">
        <w:t>65 let dopolnila večja povojna generacija</w:t>
      </w:r>
      <w:r w:rsidR="001F259A">
        <w:t>,</w:t>
      </w:r>
      <w:r w:rsidR="003F09DF">
        <w:t xml:space="preserve"> rojena leta 1947</w:t>
      </w:r>
      <w:r w:rsidR="001F259A">
        <w:t>,</w:t>
      </w:r>
      <w:r w:rsidR="003F09DF">
        <w:t xml:space="preserve"> in se </w:t>
      </w:r>
      <w:r w:rsidR="001D0E4F" w:rsidRPr="00FE2987">
        <w:t>iz skupine delovno sposobnih</w:t>
      </w:r>
      <w:r w:rsidR="00BD0F44">
        <w:t xml:space="preserve"> </w:t>
      </w:r>
      <w:r w:rsidR="003F09DF">
        <w:t xml:space="preserve">uvrstila </w:t>
      </w:r>
      <w:r w:rsidR="001D0E4F" w:rsidRPr="00FE2987">
        <w:t xml:space="preserve">med starejše, hkrati pa so </w:t>
      </w:r>
      <w:r w:rsidR="005137FC">
        <w:t>se v to starostno skupino</w:t>
      </w:r>
      <w:r w:rsidR="001D0E4F" w:rsidRPr="00FE2987">
        <w:t xml:space="preserve"> začele </w:t>
      </w:r>
      <w:r w:rsidR="005137FC">
        <w:t>uvrščati</w:t>
      </w:r>
      <w:r w:rsidR="001D0E4F" w:rsidRPr="00FE2987">
        <w:t xml:space="preserve"> manjše generacije, rojene v začetku 90</w:t>
      </w:r>
      <w:r w:rsidR="005528BC">
        <w:t>.</w:t>
      </w:r>
      <w:r w:rsidR="001D0E4F" w:rsidRPr="00FE2987">
        <w:t xml:space="preserve"> let prejšnjega stoletja, kar je vplivalo na to, da se je skupina prebivalcev v starosti 20–64 let začela krčiti.</w:t>
      </w:r>
      <w:r w:rsidR="00DC19E5" w:rsidRPr="006E7431">
        <w:rPr>
          <w:rStyle w:val="FootnoteReference"/>
        </w:rPr>
        <w:footnoteReference w:id="7"/>
      </w:r>
      <w:r w:rsidR="001D0E4F" w:rsidRPr="00FE2987">
        <w:t xml:space="preserve"> Leta 1991 je bilo na 100 delovno sposobnih 17,6 starejših, leta 2022 35,6, čez 30 let se pričakuje</w:t>
      </w:r>
      <w:r w:rsidR="004D4286">
        <w:t>,</w:t>
      </w:r>
      <w:r w:rsidR="001D0E4F" w:rsidRPr="00FE2987">
        <w:t xml:space="preserve"> da jih bo 59,4, leta 2100 pa 63,9</w:t>
      </w:r>
      <w:r w:rsidR="009F74AD">
        <w:t xml:space="preserve"> (</w:t>
      </w:r>
      <w:r w:rsidR="00D6129B">
        <w:t>koeficient</w:t>
      </w:r>
      <w:r w:rsidR="009F74AD">
        <w:t xml:space="preserve"> starostne odvisnosti starejših)</w:t>
      </w:r>
      <w:r w:rsidR="009677EE">
        <w:t>.</w:t>
      </w:r>
      <w:r w:rsidR="00334BEA">
        <w:t xml:space="preserve"> </w:t>
      </w:r>
      <w:r w:rsidR="00510D58" w:rsidRPr="0069727C">
        <w:t>Po projekciji naj bi koeficient starostne odvisnosti starejših že letos presegel vrednost EU-27 (lani je bil še malo pod povprečjem) in tudi v prihodnje bo sprememba v starostni strukturi prebivalcev izrazitejša kot v povprečju EU-27</w:t>
      </w:r>
      <w:r w:rsidR="00FA1EE2">
        <w:t xml:space="preserve"> (gl. sliko 7)</w:t>
      </w:r>
      <w:r w:rsidR="00510D58" w:rsidRPr="0069727C">
        <w:t xml:space="preserve">. Največje razlike glede na EU-27 je pričakovati v obdobju 2046–2062 (3 starejši več v Sloveniji v povprečju leta na 100 delovno sposobnih v primerjavi z EU-27), vendar pa naj bi se do leta 2100 ta razlika zmanjšala in bi </w:t>
      </w:r>
      <w:r w:rsidR="00510D58">
        <w:t xml:space="preserve">koeficient starostne odvisnosti starejših </w:t>
      </w:r>
      <w:r w:rsidR="00510D58" w:rsidRPr="0069727C">
        <w:t>v povprečju EU-27 (65,3) nekoliko presegel vrednost v Sloveniji (63,9).</w:t>
      </w:r>
      <w:r w:rsidR="00510D58">
        <w:t xml:space="preserve"> </w:t>
      </w:r>
    </w:p>
    <w:p w14:paraId="3D0E9F38" w14:textId="29FB6112" w:rsidR="002C2CB3" w:rsidRDefault="002C2CB3" w:rsidP="00B84C29">
      <w:pPr>
        <w:pStyle w:val="Caption"/>
      </w:pPr>
      <w:bookmarkStart w:id="28" w:name="_Toc146283024"/>
      <w:r w:rsidRPr="00C926D1">
        <w:t xml:space="preserve">Slika </w:t>
      </w:r>
      <w:r w:rsidRPr="00C926D1">
        <w:fldChar w:fldCharType="begin"/>
      </w:r>
      <w:r w:rsidRPr="00C926D1">
        <w:instrText xml:space="preserve"> SEQ Slika \* ARABIC </w:instrText>
      </w:r>
      <w:r w:rsidRPr="00C926D1">
        <w:fldChar w:fldCharType="separate"/>
      </w:r>
      <w:r w:rsidR="00B3724D">
        <w:t>5</w:t>
      </w:r>
      <w:r w:rsidRPr="00C926D1">
        <w:fldChar w:fldCharType="end"/>
      </w:r>
      <w:r w:rsidRPr="00C926D1">
        <w:t xml:space="preserve">: </w:t>
      </w:r>
      <w:r w:rsidRPr="005F50B6">
        <w:t>Število delovno sposobnih</w:t>
      </w:r>
      <w:r>
        <w:t xml:space="preserve"> prebivalcev se od leta 2012 znižuje (levo), največji padec je pričakovan v </w:t>
      </w:r>
      <w:r w:rsidRPr="007C5963">
        <w:t>40. letih tega stoletja</w:t>
      </w:r>
      <w:r>
        <w:t xml:space="preserve"> (desno)</w:t>
      </w:r>
      <w:bookmarkEnd w:id="28"/>
    </w:p>
    <w:p w14:paraId="74FEFA23" w14:textId="77777777" w:rsidR="002C2CB3" w:rsidRDefault="002C2CB3" w:rsidP="002C2CB3">
      <w:pPr>
        <w:pStyle w:val="BesediloUMAR"/>
      </w:pPr>
      <w:r w:rsidRPr="000A3A16">
        <w:rPr>
          <w:noProof/>
        </w:rPr>
        <w:drawing>
          <wp:inline distT="0" distB="0" distL="0" distR="0" wp14:anchorId="4FCC8688" wp14:editId="7451FA40">
            <wp:extent cx="2790000" cy="23040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000" cy="2304000"/>
                    </a:xfrm>
                    <a:prstGeom prst="rect">
                      <a:avLst/>
                    </a:prstGeom>
                    <a:noFill/>
                    <a:ln>
                      <a:noFill/>
                    </a:ln>
                  </pic:spPr>
                </pic:pic>
              </a:graphicData>
            </a:graphic>
          </wp:inline>
        </w:drawing>
      </w:r>
      <w:r>
        <w:t xml:space="preserve">     </w:t>
      </w:r>
      <w:r w:rsidRPr="000A3A16">
        <w:rPr>
          <w:noProof/>
        </w:rPr>
        <w:drawing>
          <wp:inline distT="0" distB="0" distL="0" distR="0" wp14:anchorId="07FA6A35" wp14:editId="2CC91798">
            <wp:extent cx="2790000" cy="228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0000" cy="2289600"/>
                    </a:xfrm>
                    <a:prstGeom prst="rect">
                      <a:avLst/>
                    </a:prstGeom>
                    <a:noFill/>
                    <a:ln>
                      <a:noFill/>
                    </a:ln>
                  </pic:spPr>
                </pic:pic>
              </a:graphicData>
            </a:graphic>
          </wp:inline>
        </w:drawing>
      </w:r>
    </w:p>
    <w:p w14:paraId="74CF05E6" w14:textId="77777777" w:rsidR="002C2CB3" w:rsidRDefault="002C2CB3" w:rsidP="002C2CB3">
      <w:pPr>
        <w:pStyle w:val="VirUMAR"/>
      </w:pPr>
      <w:r>
        <w:t xml:space="preserve">Vir: </w:t>
      </w:r>
      <w:r>
        <w:fldChar w:fldCharType="begin"/>
      </w:r>
      <w:r>
        <w:instrText xml:space="preserve"> ADDIN ZOTERO_ITEM CSL_CITATION {"citationID":"ifEtnUEk","properties":{"custom":"SURS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fldChar w:fldCharType="separate"/>
      </w:r>
      <w:r w:rsidRPr="00935831">
        <w:t>SURS (2023)</w:t>
      </w:r>
      <w:r>
        <w:fldChar w:fldCharType="end"/>
      </w:r>
      <w:r>
        <w:t xml:space="preserve">, </w:t>
      </w:r>
      <w:r>
        <w:fldChar w:fldCharType="begin"/>
      </w:r>
      <w:r>
        <w:instrText xml:space="preserve"> ADDIN ZOTERO_ITEM CSL_CITATION {"citationID":"IAGf8TNs","properties":{"custom":"Eurostat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fldChar w:fldCharType="separate"/>
      </w:r>
      <w:r w:rsidRPr="0041067E">
        <w:t>Eurostat (2023a)</w:t>
      </w:r>
      <w:r>
        <w:fldChar w:fldCharType="end"/>
      </w:r>
      <w:r>
        <w:t>,</w:t>
      </w:r>
      <w:r w:rsidRPr="00416044">
        <w:t xml:space="preserve"> </w:t>
      </w:r>
      <w:r>
        <w:t>preračuni UMAR.</w:t>
      </w:r>
    </w:p>
    <w:p w14:paraId="45224C0E" w14:textId="77777777" w:rsidR="002C2CB3" w:rsidRDefault="002C2CB3" w:rsidP="002C2CB3">
      <w:pPr>
        <w:pStyle w:val="VirUMAR"/>
      </w:pPr>
      <w:r>
        <w:t>Opomba: Zadnje obdobje vsebuje za eno leto podatkov manj 2092–2100 (konec obdobja projekcije).</w:t>
      </w:r>
    </w:p>
    <w:p w14:paraId="6E58E2DF" w14:textId="77777777" w:rsidR="00E85837" w:rsidRPr="00482410" w:rsidRDefault="00E85837" w:rsidP="002C2CB3">
      <w:pPr>
        <w:pStyle w:val="VirUMAR"/>
      </w:pPr>
    </w:p>
    <w:p w14:paraId="785CC35B" w14:textId="77777777" w:rsidR="002C2CB3" w:rsidRPr="00591BAA" w:rsidRDefault="002C2CB3" w:rsidP="00510D58">
      <w:pPr>
        <w:pStyle w:val="BesediloUMAR"/>
        <w:rPr>
          <w:highlight w:val="darkCyan"/>
        </w:rPr>
      </w:pPr>
    </w:p>
    <w:p w14:paraId="049552AE" w14:textId="034B28D3" w:rsidR="0059030C" w:rsidRDefault="001E5862" w:rsidP="00D45942">
      <w:pPr>
        <w:pStyle w:val="BesediloUMAR"/>
      </w:pPr>
      <w:r w:rsidRPr="007E0D40">
        <w:rPr>
          <w:rStyle w:val="BoldpoudarekUMAR"/>
        </w:rPr>
        <w:t>Povprečna starost prebivalcev se je v štirih desetletjih povečala za 10 let</w:t>
      </w:r>
      <w:r w:rsidRPr="00D2190F">
        <w:rPr>
          <w:rStyle w:val="BoldpoudarekUMAR"/>
        </w:rPr>
        <w:t xml:space="preserve">. </w:t>
      </w:r>
      <w:r w:rsidR="00334BEA" w:rsidRPr="002E7B0A">
        <w:t xml:space="preserve">Slika </w:t>
      </w:r>
      <w:r w:rsidR="002C2CB3">
        <w:t>6</w:t>
      </w:r>
      <w:r w:rsidR="00334BEA" w:rsidRPr="00D2190F">
        <w:t xml:space="preserve"> na</w:t>
      </w:r>
      <w:r w:rsidR="00334BEA">
        <w:t xml:space="preserve"> </w:t>
      </w:r>
      <w:r w:rsidR="006F3E17">
        <w:t xml:space="preserve">levi prikazuje, </w:t>
      </w:r>
      <w:r w:rsidR="006F3E17" w:rsidRPr="00B67FF8">
        <w:t>kako se je med letoma 1982 in 2023 povečalo število starejših prebivalcev, največje generacije</w:t>
      </w:r>
      <w:r w:rsidR="004B62C3">
        <w:t xml:space="preserve">, ki štejejo </w:t>
      </w:r>
      <w:r w:rsidR="004B62C3" w:rsidRPr="00B67FF8">
        <w:t xml:space="preserve">več kot </w:t>
      </w:r>
      <w:r w:rsidR="00741410">
        <w:br/>
      </w:r>
      <w:r w:rsidR="004B62C3" w:rsidRPr="00B67FF8">
        <w:t>30 tisoč oseb</w:t>
      </w:r>
      <w:r w:rsidR="004B62C3">
        <w:t>, pa so leta 2023</w:t>
      </w:r>
      <w:r w:rsidR="006F3E17" w:rsidRPr="00B67FF8">
        <w:t xml:space="preserve"> </w:t>
      </w:r>
      <w:r w:rsidR="004B62C3">
        <w:t>star</w:t>
      </w:r>
      <w:r w:rsidR="00186C35">
        <w:t>e</w:t>
      </w:r>
      <w:r w:rsidR="004B62C3">
        <w:t xml:space="preserve"> </w:t>
      </w:r>
      <w:r w:rsidR="006F3E17" w:rsidRPr="00B67FF8">
        <w:t>med 39 in 58 let</w:t>
      </w:r>
      <w:r w:rsidR="004B62C3">
        <w:t>.</w:t>
      </w:r>
      <w:r w:rsidR="006F3E17" w:rsidRPr="00B67FF8">
        <w:t xml:space="preserve"> </w:t>
      </w:r>
      <w:r w:rsidR="0028603A">
        <w:t>V</w:t>
      </w:r>
      <w:r w:rsidR="006F3E17" w:rsidRPr="00B67FF8">
        <w:t xml:space="preserve"> začetku leta 1982 je bila povprečna starost prebivalca Slovenije 34,4 let</w:t>
      </w:r>
      <w:r w:rsidR="00C42F7E">
        <w:t>a</w:t>
      </w:r>
      <w:r w:rsidR="006F3E17" w:rsidRPr="00B67FF8">
        <w:t xml:space="preserve"> (M: 32,5 let</w:t>
      </w:r>
      <w:r w:rsidR="009A373C">
        <w:t>a</w:t>
      </w:r>
      <w:r w:rsidR="006F3E17" w:rsidRPr="00B67FF8">
        <w:t>; Ž: 36,1 let</w:t>
      </w:r>
      <w:r w:rsidR="009A373C">
        <w:t>a</w:t>
      </w:r>
      <w:r w:rsidR="006F3E17" w:rsidRPr="00B67FF8">
        <w:t xml:space="preserve">), </w:t>
      </w:r>
      <w:r w:rsidR="0028603A">
        <w:t xml:space="preserve">v </w:t>
      </w:r>
      <w:r w:rsidR="006F3E17" w:rsidRPr="00B67FF8">
        <w:t>začetku leta 2023 pa 44 let (M: 42,5 let</w:t>
      </w:r>
      <w:r w:rsidR="0010181B">
        <w:t>a</w:t>
      </w:r>
      <w:r w:rsidR="006F3E17" w:rsidRPr="00B67FF8">
        <w:t>; Ž: 45,4 let</w:t>
      </w:r>
      <w:r w:rsidR="00C42F7E">
        <w:t>a</w:t>
      </w:r>
      <w:r w:rsidR="006F3E17" w:rsidRPr="00B67FF8">
        <w:t>). Na sliki desno pa lahko prek generacij opazimo zmanjšanje števila prebivalcev</w:t>
      </w:r>
      <w:r w:rsidR="00E7458D">
        <w:t xml:space="preserve">; </w:t>
      </w:r>
      <w:r w:rsidR="006F3E17" w:rsidRPr="00B67FF8">
        <w:t xml:space="preserve">leta 2060 bodo največje generacije, ki bodo štele nad 25 tisoč oseb, stare okoli 50 let (ocenjujemo, da zaradi </w:t>
      </w:r>
      <w:r w:rsidR="006A4502">
        <w:t>priseljenih</w:t>
      </w:r>
      <w:r w:rsidR="006F3E17" w:rsidRPr="00B67FF8">
        <w:t>) in okoli 80 let (večje generacije</w:t>
      </w:r>
      <w:r w:rsidR="00150BFF">
        <w:t>,</w:t>
      </w:r>
      <w:r w:rsidR="006F3E17" w:rsidRPr="00B67FF8">
        <w:t xml:space="preserve"> rojene okoli leta 1980).</w:t>
      </w:r>
      <w:r w:rsidR="006F3E17">
        <w:t xml:space="preserve"> </w:t>
      </w:r>
    </w:p>
    <w:p w14:paraId="298CA42C" w14:textId="75236A6F" w:rsidR="00BC068A" w:rsidRDefault="00BC068A" w:rsidP="00B84C29">
      <w:pPr>
        <w:pStyle w:val="Caption"/>
      </w:pPr>
      <w:bookmarkStart w:id="29" w:name="_Toc146283025"/>
      <w:r w:rsidRPr="00203E0D">
        <w:lastRenderedPageBreak/>
        <w:t xml:space="preserve">Slika </w:t>
      </w:r>
      <w:r w:rsidRPr="00203E0D">
        <w:fldChar w:fldCharType="begin"/>
      </w:r>
      <w:r w:rsidRPr="00203E0D">
        <w:instrText xml:space="preserve"> SEQ Slika \* ARABIC </w:instrText>
      </w:r>
      <w:r w:rsidRPr="00203E0D">
        <w:fldChar w:fldCharType="separate"/>
      </w:r>
      <w:r w:rsidR="00B3724D">
        <w:t>6</w:t>
      </w:r>
      <w:r w:rsidRPr="00203E0D">
        <w:fldChar w:fldCharType="end"/>
      </w:r>
      <w:r w:rsidRPr="00203E0D">
        <w:t xml:space="preserve">: </w:t>
      </w:r>
      <w:r w:rsidRPr="002B7BC3">
        <w:t xml:space="preserve">Leta 2023 </w:t>
      </w:r>
      <w:r>
        <w:t xml:space="preserve">so </w:t>
      </w:r>
      <w:r w:rsidRPr="002B7BC3">
        <w:t xml:space="preserve">v </w:t>
      </w:r>
      <w:r w:rsidRPr="00560CA5">
        <w:t>Sloveniji še generacije,</w:t>
      </w:r>
      <w:r w:rsidRPr="002B7BC3">
        <w:t xml:space="preserve"> ki štejejo nad 30 tisoč oseb</w:t>
      </w:r>
      <w:r>
        <w:t xml:space="preserve"> (levo)</w:t>
      </w:r>
      <w:r w:rsidRPr="002B7BC3">
        <w:t xml:space="preserve">, </w:t>
      </w:r>
      <w:r>
        <w:t>po letu 2050</w:t>
      </w:r>
      <w:r w:rsidRPr="002B7BC3">
        <w:t xml:space="preserve"> pa tako velikih generacij </w:t>
      </w:r>
      <w:r>
        <w:t>naj ne bi bilo</w:t>
      </w:r>
      <w:r w:rsidRPr="002B7BC3">
        <w:t xml:space="preserve"> več</w:t>
      </w:r>
      <w:r>
        <w:t xml:space="preserve"> (desno)</w:t>
      </w:r>
      <w:bookmarkEnd w:id="29"/>
    </w:p>
    <w:p w14:paraId="1382EBFA" w14:textId="77777777" w:rsidR="00BC068A" w:rsidRDefault="00BC068A" w:rsidP="00BC068A">
      <w:pPr>
        <w:pStyle w:val="BesediloUMAR"/>
      </w:pPr>
      <w:r w:rsidRPr="00EC7A4A">
        <w:rPr>
          <w:noProof/>
        </w:rPr>
        <w:drawing>
          <wp:inline distT="0" distB="0" distL="0" distR="0" wp14:anchorId="535A1AC4" wp14:editId="42C1B6A8">
            <wp:extent cx="2775600" cy="2268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r>
        <w:t xml:space="preserve">    </w:t>
      </w:r>
      <w:r w:rsidRPr="00EC7A4A">
        <w:rPr>
          <w:noProof/>
        </w:rPr>
        <w:drawing>
          <wp:inline distT="0" distB="0" distL="0" distR="0" wp14:anchorId="1C8922A0" wp14:editId="54021490">
            <wp:extent cx="2775600" cy="22680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20A38DF2" w14:textId="77777777" w:rsidR="00BC068A" w:rsidRPr="00482410" w:rsidRDefault="00BC068A" w:rsidP="00BC068A">
      <w:pPr>
        <w:pStyle w:val="VirUMAR"/>
      </w:pPr>
      <w:r w:rsidRPr="00482410">
        <w:t xml:space="preserve">Vir: </w:t>
      </w:r>
      <w:r>
        <w:fldChar w:fldCharType="begin"/>
      </w:r>
      <w:r>
        <w:instrText xml:space="preserve"> ADDIN ZOTERO_ITEM CSL_CITATION {"citationID":"zMeP4HBn","properties":{"custom":"SURS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fldChar w:fldCharType="separate"/>
      </w:r>
      <w:r w:rsidRPr="0041067E">
        <w:t>SURS (2023),</w:t>
      </w:r>
      <w:r>
        <w:fldChar w:fldCharType="end"/>
      </w:r>
      <w:r>
        <w:t xml:space="preserve"> </w:t>
      </w:r>
      <w:r>
        <w:fldChar w:fldCharType="begin"/>
      </w:r>
      <w:r>
        <w:instrText xml:space="preserve"> ADDIN ZOTERO_ITEM CSL_CITATION {"citationID":"VW4ZL6zl","properties":{"custom":"Eurostat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fldChar w:fldCharType="separate"/>
      </w:r>
      <w:r w:rsidRPr="0041067E">
        <w:t>Eurostat (2023a)</w:t>
      </w:r>
      <w:r>
        <w:fldChar w:fldCharType="end"/>
      </w:r>
      <w:r>
        <w:t>.</w:t>
      </w:r>
    </w:p>
    <w:p w14:paraId="3D893243" w14:textId="7569E73D" w:rsidR="00BC068A" w:rsidRDefault="00BC068A" w:rsidP="00BC068A">
      <w:pPr>
        <w:pStyle w:val="VirUMAR"/>
      </w:pPr>
      <w:r w:rsidRPr="00482410">
        <w:t xml:space="preserve">Opomba: </w:t>
      </w:r>
      <w:r>
        <w:t>L</w:t>
      </w:r>
      <w:r w:rsidRPr="00482410">
        <w:t>eta 2100 bo mediana starosti znašala 50,3 let, povprečj</w:t>
      </w:r>
      <w:r>
        <w:t>a starost pa bo p</w:t>
      </w:r>
      <w:r w:rsidRPr="00482410">
        <w:t>o naši oceni na podlagi EUROPOP</w:t>
      </w:r>
      <w:r>
        <w:t>2023</w:t>
      </w:r>
      <w:r w:rsidRPr="00482410">
        <w:t xml:space="preserve"> podatkov </w:t>
      </w:r>
      <w:r w:rsidR="00741410">
        <w:br/>
      </w:r>
      <w:r w:rsidRPr="00482410">
        <w:t>48,7 let</w:t>
      </w:r>
      <w:r>
        <w:t>a (p</w:t>
      </w:r>
      <w:r w:rsidRPr="00171AA9">
        <w:t>odatki o povprečni starosti v projekcij</w:t>
      </w:r>
      <w:r>
        <w:t>i</w:t>
      </w:r>
      <w:r w:rsidRPr="00171AA9">
        <w:t xml:space="preserve"> niso dostopni</w:t>
      </w:r>
      <w:r>
        <w:t>)</w:t>
      </w:r>
      <w:r w:rsidRPr="00482410">
        <w:t>.</w:t>
      </w:r>
    </w:p>
    <w:p w14:paraId="55CEDE04" w14:textId="77777777" w:rsidR="00BC068A" w:rsidRDefault="00BC068A" w:rsidP="00D45942">
      <w:pPr>
        <w:pStyle w:val="BesediloUMAR"/>
      </w:pPr>
    </w:p>
    <w:p w14:paraId="2C35AEC6" w14:textId="683EF7B7" w:rsidR="009033C5" w:rsidRPr="00203E0D" w:rsidRDefault="00203E0D" w:rsidP="00B84C29">
      <w:pPr>
        <w:pStyle w:val="Caption"/>
      </w:pPr>
      <w:bookmarkStart w:id="30" w:name="_Toc146283026"/>
      <w:r w:rsidRPr="00203E0D">
        <w:t xml:space="preserve">Slika </w:t>
      </w:r>
      <w:r w:rsidRPr="00203E0D">
        <w:fldChar w:fldCharType="begin"/>
      </w:r>
      <w:r w:rsidRPr="00203E0D">
        <w:instrText xml:space="preserve"> SEQ Slika \* ARABIC </w:instrText>
      </w:r>
      <w:r w:rsidRPr="00203E0D">
        <w:fldChar w:fldCharType="separate"/>
      </w:r>
      <w:r w:rsidR="00B3724D">
        <w:t>7</w:t>
      </w:r>
      <w:r w:rsidRPr="00203E0D">
        <w:fldChar w:fldCharType="end"/>
      </w:r>
      <w:r w:rsidRPr="00203E0D">
        <w:t xml:space="preserve">: </w:t>
      </w:r>
      <w:r w:rsidR="003F4430">
        <w:t>Število starejših na 100 delovno sposobnih</w:t>
      </w:r>
      <w:r w:rsidR="00615527">
        <w:t xml:space="preserve"> (zgoraj) in delež starejših (spodaj)</w:t>
      </w:r>
      <w:r w:rsidR="007D4259">
        <w:t xml:space="preserve"> </w:t>
      </w:r>
      <w:r w:rsidR="00FD457F" w:rsidRPr="00442DAD">
        <w:t>naj</w:t>
      </w:r>
      <w:r w:rsidR="00FD457F">
        <w:t xml:space="preserve"> bi že letos</w:t>
      </w:r>
      <w:r w:rsidR="00615527">
        <w:t xml:space="preserve"> presegla</w:t>
      </w:r>
      <w:r w:rsidR="00200FF0">
        <w:t xml:space="preserve"> in do okoli leta 2070</w:t>
      </w:r>
      <w:r w:rsidR="00513CE5">
        <w:t xml:space="preserve"> </w:t>
      </w:r>
      <w:r w:rsidR="003F4430">
        <w:t>preseg</w:t>
      </w:r>
      <w:r w:rsidR="00200FF0">
        <w:t>a</w:t>
      </w:r>
      <w:r w:rsidR="003F4430">
        <w:t>l</w:t>
      </w:r>
      <w:r w:rsidR="00615527">
        <w:t>a</w:t>
      </w:r>
      <w:r w:rsidR="003F4430">
        <w:t xml:space="preserve"> povprečje EU</w:t>
      </w:r>
      <w:bookmarkEnd w:id="30"/>
    </w:p>
    <w:p w14:paraId="227EA4C5" w14:textId="2C3E683A" w:rsidR="009033C5" w:rsidRDefault="004D5113" w:rsidP="001C57FA">
      <w:pPr>
        <w:pStyle w:val="BesediloUMAR"/>
      </w:pPr>
      <w:r w:rsidRPr="004D5113">
        <w:rPr>
          <w:noProof/>
        </w:rPr>
        <w:drawing>
          <wp:inline distT="0" distB="0" distL="0" distR="0" wp14:anchorId="7C4B3DBD" wp14:editId="5F359857">
            <wp:extent cx="5759450" cy="2102524"/>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2102524"/>
                    </a:xfrm>
                    <a:prstGeom prst="rect">
                      <a:avLst/>
                    </a:prstGeom>
                    <a:noFill/>
                    <a:ln>
                      <a:noFill/>
                    </a:ln>
                  </pic:spPr>
                </pic:pic>
              </a:graphicData>
            </a:graphic>
          </wp:inline>
        </w:drawing>
      </w:r>
    </w:p>
    <w:p w14:paraId="6F83CDF0" w14:textId="77777777" w:rsidR="00203E0D" w:rsidRDefault="00203E0D" w:rsidP="001C57FA">
      <w:pPr>
        <w:pStyle w:val="BesediloUMAR"/>
      </w:pPr>
    </w:p>
    <w:p w14:paraId="1033A05A" w14:textId="24E233A0" w:rsidR="00606FF7" w:rsidRDefault="004D5113" w:rsidP="00606FF7">
      <w:pPr>
        <w:pStyle w:val="BesediloUMAR"/>
      </w:pPr>
      <w:r w:rsidRPr="004D5113">
        <w:rPr>
          <w:noProof/>
        </w:rPr>
        <w:drawing>
          <wp:inline distT="0" distB="0" distL="0" distR="0" wp14:anchorId="591D0720" wp14:editId="02E7FC8B">
            <wp:extent cx="5759450" cy="2102524"/>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2102524"/>
                    </a:xfrm>
                    <a:prstGeom prst="rect">
                      <a:avLst/>
                    </a:prstGeom>
                    <a:noFill/>
                    <a:ln>
                      <a:noFill/>
                    </a:ln>
                  </pic:spPr>
                </pic:pic>
              </a:graphicData>
            </a:graphic>
          </wp:inline>
        </w:drawing>
      </w:r>
    </w:p>
    <w:p w14:paraId="18AD599E" w14:textId="227A38CE" w:rsidR="00174D04" w:rsidRPr="00B33645" w:rsidRDefault="00482410" w:rsidP="00BB5BF2">
      <w:pPr>
        <w:pStyle w:val="VirUMAR"/>
      </w:pPr>
      <w:r w:rsidRPr="00482410">
        <w:t xml:space="preserve">Vir: </w:t>
      </w:r>
      <w:r w:rsidR="00935831">
        <w:fldChar w:fldCharType="begin"/>
      </w:r>
      <w:r w:rsidR="00412DF0">
        <w:instrText xml:space="preserve"> ADDIN ZOTERO_ITEM CSL_CITATION {"citationID":"0Ma2m0m1","properties":{"custom":"Eurostat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00935831">
        <w:fldChar w:fldCharType="separate"/>
      </w:r>
      <w:r w:rsidR="00935831" w:rsidRPr="0041067E">
        <w:t>Eurostat (2023a)</w:t>
      </w:r>
      <w:r w:rsidR="00935831">
        <w:fldChar w:fldCharType="end"/>
      </w:r>
      <w:r w:rsidR="00935831">
        <w:t>.</w:t>
      </w:r>
      <w:r w:rsidR="00174D04">
        <w:br w:type="page"/>
      </w:r>
    </w:p>
    <w:p w14:paraId="2AFA23CE" w14:textId="0C42FFB6" w:rsidR="00205AE5" w:rsidRDefault="00205AE5" w:rsidP="00B84C29">
      <w:pPr>
        <w:pStyle w:val="Caption"/>
      </w:pPr>
      <w:bookmarkStart w:id="31" w:name="_Toc146283046"/>
      <w:r>
        <w:lastRenderedPageBreak/>
        <w:t xml:space="preserve">Tabela </w:t>
      </w:r>
      <w:r>
        <w:fldChar w:fldCharType="begin"/>
      </w:r>
      <w:r>
        <w:instrText xml:space="preserve"> SEQ Tabela \* ARABIC </w:instrText>
      </w:r>
      <w:r>
        <w:fldChar w:fldCharType="separate"/>
      </w:r>
      <w:r w:rsidR="00B3724D">
        <w:t>1</w:t>
      </w:r>
      <w:r>
        <w:fldChar w:fldCharType="end"/>
      </w:r>
      <w:r w:rsidR="00A66F00">
        <w:t xml:space="preserve">: </w:t>
      </w:r>
      <w:r w:rsidR="00B14CFA">
        <w:t>Demografski kazalniki projekcije EUROPOP2023</w:t>
      </w:r>
      <w:r w:rsidR="00C07619">
        <w:t>, povprečja obdobij</w:t>
      </w:r>
      <w:bookmarkEnd w:id="31"/>
    </w:p>
    <w:tbl>
      <w:tblPr>
        <w:tblW w:w="5000" w:type="pct"/>
        <w:tblBorders>
          <w:insideH w:val="single" w:sz="4" w:space="0" w:color="auto"/>
          <w:insideV w:val="single" w:sz="4" w:space="0" w:color="auto"/>
        </w:tblBorders>
        <w:tblLayout w:type="fixed"/>
        <w:tblCellMar>
          <w:left w:w="0" w:type="dxa"/>
          <w:right w:w="70" w:type="dxa"/>
        </w:tblCellMar>
        <w:tblLook w:val="04A0" w:firstRow="1" w:lastRow="0" w:firstColumn="1" w:lastColumn="0" w:noHBand="0" w:noVBand="1"/>
      </w:tblPr>
      <w:tblGrid>
        <w:gridCol w:w="2698"/>
        <w:gridCol w:w="797"/>
        <w:gridCol w:w="797"/>
        <w:gridCol w:w="797"/>
        <w:gridCol w:w="797"/>
        <w:gridCol w:w="796"/>
        <w:gridCol w:w="796"/>
        <w:gridCol w:w="796"/>
        <w:gridCol w:w="796"/>
      </w:tblGrid>
      <w:tr w:rsidR="00692C1B" w:rsidRPr="00205AE5" w14:paraId="34E7B51A" w14:textId="77777777" w:rsidTr="00F801ED">
        <w:trPr>
          <w:trHeight w:val="264"/>
        </w:trPr>
        <w:tc>
          <w:tcPr>
            <w:tcW w:w="1486" w:type="pct"/>
            <w:tcBorders>
              <w:top w:val="single" w:sz="4" w:space="0" w:color="auto"/>
              <w:bottom w:val="single" w:sz="8" w:space="0" w:color="auto"/>
            </w:tcBorders>
            <w:shd w:val="clear" w:color="auto" w:fill="DCDCDC" w:themeFill="accent4" w:themeFillTint="33"/>
            <w:noWrap/>
            <w:vAlign w:val="bottom"/>
            <w:hideMark/>
          </w:tcPr>
          <w:p w14:paraId="4316C334" w14:textId="77777777" w:rsidR="00205AE5" w:rsidRPr="00205AE5" w:rsidRDefault="00205AE5" w:rsidP="0056749C">
            <w:pPr>
              <w:pStyle w:val="TabelalevoUMAR"/>
              <w:rPr>
                <w:lang w:eastAsia="sl-SI"/>
              </w:rPr>
            </w:pPr>
          </w:p>
        </w:tc>
        <w:tc>
          <w:tcPr>
            <w:tcW w:w="439" w:type="pct"/>
            <w:tcBorders>
              <w:top w:val="single" w:sz="4" w:space="0" w:color="auto"/>
              <w:bottom w:val="single" w:sz="8" w:space="0" w:color="auto"/>
            </w:tcBorders>
            <w:shd w:val="clear" w:color="auto" w:fill="DCDCDC" w:themeFill="accent4" w:themeFillTint="33"/>
            <w:noWrap/>
            <w:vAlign w:val="bottom"/>
            <w:hideMark/>
          </w:tcPr>
          <w:p w14:paraId="5B4B7F40" w14:textId="5514D842" w:rsidR="00205AE5" w:rsidRPr="00205AE5" w:rsidRDefault="00205AE5" w:rsidP="0056749C">
            <w:pPr>
              <w:pStyle w:val="TabelaglavadesnoUMAR"/>
              <w:rPr>
                <w:lang w:eastAsia="sl-SI"/>
              </w:rPr>
            </w:pPr>
            <w:r w:rsidRPr="00205AE5">
              <w:rPr>
                <w:lang w:eastAsia="sl-SI"/>
              </w:rPr>
              <w:t>2022</w:t>
            </w:r>
            <w:r w:rsidR="00692C1B">
              <w:rPr>
                <w:lang w:eastAsia="sl-SI"/>
              </w:rPr>
              <w:t>–</w:t>
            </w:r>
            <w:r w:rsidRPr="00205AE5">
              <w:rPr>
                <w:lang w:eastAsia="sl-SI"/>
              </w:rPr>
              <w:t>2030</w:t>
            </w:r>
          </w:p>
        </w:tc>
        <w:tc>
          <w:tcPr>
            <w:tcW w:w="439" w:type="pct"/>
            <w:tcBorders>
              <w:top w:val="single" w:sz="4" w:space="0" w:color="auto"/>
              <w:bottom w:val="single" w:sz="8" w:space="0" w:color="auto"/>
            </w:tcBorders>
            <w:shd w:val="clear" w:color="auto" w:fill="DCDCDC" w:themeFill="accent4" w:themeFillTint="33"/>
            <w:noWrap/>
            <w:vAlign w:val="bottom"/>
            <w:hideMark/>
          </w:tcPr>
          <w:p w14:paraId="7A5DA086" w14:textId="2EC1FD06" w:rsidR="00205AE5" w:rsidRPr="00205AE5" w:rsidRDefault="00205AE5" w:rsidP="0056749C">
            <w:pPr>
              <w:pStyle w:val="TabelaglavadesnoUMAR"/>
              <w:rPr>
                <w:lang w:eastAsia="sl-SI"/>
              </w:rPr>
            </w:pPr>
            <w:r w:rsidRPr="00205AE5">
              <w:rPr>
                <w:lang w:eastAsia="sl-SI"/>
              </w:rPr>
              <w:t>2031</w:t>
            </w:r>
            <w:r w:rsidR="00692C1B">
              <w:rPr>
                <w:lang w:eastAsia="sl-SI"/>
              </w:rPr>
              <w:t>–</w:t>
            </w:r>
            <w:r w:rsidRPr="00205AE5">
              <w:rPr>
                <w:lang w:eastAsia="sl-SI"/>
              </w:rPr>
              <w:t>2040</w:t>
            </w:r>
          </w:p>
        </w:tc>
        <w:tc>
          <w:tcPr>
            <w:tcW w:w="439" w:type="pct"/>
            <w:tcBorders>
              <w:top w:val="single" w:sz="4" w:space="0" w:color="auto"/>
              <w:bottom w:val="single" w:sz="8" w:space="0" w:color="auto"/>
            </w:tcBorders>
            <w:shd w:val="clear" w:color="auto" w:fill="DCDCDC" w:themeFill="accent4" w:themeFillTint="33"/>
            <w:noWrap/>
            <w:vAlign w:val="bottom"/>
            <w:hideMark/>
          </w:tcPr>
          <w:p w14:paraId="74E4328E" w14:textId="2B516EBB" w:rsidR="00205AE5" w:rsidRPr="00205AE5" w:rsidRDefault="00205AE5" w:rsidP="0056749C">
            <w:pPr>
              <w:pStyle w:val="TabelaglavadesnoUMAR"/>
              <w:rPr>
                <w:lang w:eastAsia="sl-SI"/>
              </w:rPr>
            </w:pPr>
            <w:r w:rsidRPr="00205AE5">
              <w:rPr>
                <w:lang w:eastAsia="sl-SI"/>
              </w:rPr>
              <w:t>2041</w:t>
            </w:r>
            <w:r w:rsidR="00692C1B">
              <w:rPr>
                <w:lang w:eastAsia="sl-SI"/>
              </w:rPr>
              <w:t>–</w:t>
            </w:r>
            <w:r w:rsidRPr="00205AE5">
              <w:rPr>
                <w:lang w:eastAsia="sl-SI"/>
              </w:rPr>
              <w:t>2050</w:t>
            </w:r>
          </w:p>
        </w:tc>
        <w:tc>
          <w:tcPr>
            <w:tcW w:w="439" w:type="pct"/>
            <w:tcBorders>
              <w:top w:val="single" w:sz="4" w:space="0" w:color="auto"/>
              <w:bottom w:val="single" w:sz="8" w:space="0" w:color="auto"/>
            </w:tcBorders>
            <w:shd w:val="clear" w:color="auto" w:fill="DCDCDC" w:themeFill="accent4" w:themeFillTint="33"/>
            <w:noWrap/>
            <w:vAlign w:val="bottom"/>
            <w:hideMark/>
          </w:tcPr>
          <w:p w14:paraId="717477C8" w14:textId="3AA23CDD" w:rsidR="00205AE5" w:rsidRPr="00205AE5" w:rsidRDefault="00205AE5" w:rsidP="0056749C">
            <w:pPr>
              <w:pStyle w:val="TabelaglavadesnoUMAR"/>
              <w:rPr>
                <w:lang w:eastAsia="sl-SI"/>
              </w:rPr>
            </w:pPr>
            <w:r w:rsidRPr="00205AE5">
              <w:rPr>
                <w:lang w:eastAsia="sl-SI"/>
              </w:rPr>
              <w:t>2051</w:t>
            </w:r>
            <w:r w:rsidR="00692C1B">
              <w:rPr>
                <w:lang w:eastAsia="sl-SI"/>
              </w:rPr>
              <w:t>–</w:t>
            </w:r>
            <w:r w:rsidRPr="00205AE5">
              <w:rPr>
                <w:lang w:eastAsia="sl-SI"/>
              </w:rPr>
              <w:t>2060</w:t>
            </w:r>
          </w:p>
        </w:tc>
        <w:tc>
          <w:tcPr>
            <w:tcW w:w="439" w:type="pct"/>
            <w:tcBorders>
              <w:top w:val="single" w:sz="4" w:space="0" w:color="auto"/>
              <w:bottom w:val="single" w:sz="8" w:space="0" w:color="auto"/>
            </w:tcBorders>
            <w:shd w:val="clear" w:color="auto" w:fill="DCDCDC" w:themeFill="accent4" w:themeFillTint="33"/>
            <w:noWrap/>
            <w:vAlign w:val="bottom"/>
            <w:hideMark/>
          </w:tcPr>
          <w:p w14:paraId="1C2419C9" w14:textId="61F9C905" w:rsidR="00205AE5" w:rsidRPr="00205AE5" w:rsidRDefault="00205AE5" w:rsidP="0056749C">
            <w:pPr>
              <w:pStyle w:val="TabelaglavadesnoUMAR"/>
              <w:rPr>
                <w:lang w:eastAsia="sl-SI"/>
              </w:rPr>
            </w:pPr>
            <w:r w:rsidRPr="00205AE5">
              <w:rPr>
                <w:lang w:eastAsia="sl-SI"/>
              </w:rPr>
              <w:t>2061</w:t>
            </w:r>
            <w:r w:rsidR="00692C1B">
              <w:rPr>
                <w:lang w:eastAsia="sl-SI"/>
              </w:rPr>
              <w:t>–</w:t>
            </w:r>
            <w:r w:rsidRPr="00205AE5">
              <w:rPr>
                <w:lang w:eastAsia="sl-SI"/>
              </w:rPr>
              <w:t>2070</w:t>
            </w:r>
          </w:p>
        </w:tc>
        <w:tc>
          <w:tcPr>
            <w:tcW w:w="439" w:type="pct"/>
            <w:tcBorders>
              <w:top w:val="single" w:sz="4" w:space="0" w:color="auto"/>
              <w:bottom w:val="single" w:sz="8" w:space="0" w:color="auto"/>
            </w:tcBorders>
            <w:shd w:val="clear" w:color="auto" w:fill="DCDCDC" w:themeFill="accent4" w:themeFillTint="33"/>
            <w:noWrap/>
            <w:vAlign w:val="bottom"/>
            <w:hideMark/>
          </w:tcPr>
          <w:p w14:paraId="2FFDFDAD" w14:textId="41FCDCF2" w:rsidR="00205AE5" w:rsidRPr="00205AE5" w:rsidRDefault="00205AE5" w:rsidP="0056749C">
            <w:pPr>
              <w:pStyle w:val="TabelaglavadesnoUMAR"/>
              <w:rPr>
                <w:lang w:eastAsia="sl-SI"/>
              </w:rPr>
            </w:pPr>
            <w:r w:rsidRPr="00205AE5">
              <w:rPr>
                <w:lang w:eastAsia="sl-SI"/>
              </w:rPr>
              <w:t>2071</w:t>
            </w:r>
            <w:r w:rsidR="00692C1B">
              <w:rPr>
                <w:lang w:eastAsia="sl-SI"/>
              </w:rPr>
              <w:t>–</w:t>
            </w:r>
            <w:r w:rsidRPr="00205AE5">
              <w:rPr>
                <w:lang w:eastAsia="sl-SI"/>
              </w:rPr>
              <w:t>2080</w:t>
            </w:r>
          </w:p>
        </w:tc>
        <w:tc>
          <w:tcPr>
            <w:tcW w:w="439" w:type="pct"/>
            <w:tcBorders>
              <w:top w:val="single" w:sz="4" w:space="0" w:color="auto"/>
              <w:bottom w:val="single" w:sz="8" w:space="0" w:color="auto"/>
            </w:tcBorders>
            <w:shd w:val="clear" w:color="auto" w:fill="DCDCDC" w:themeFill="accent4" w:themeFillTint="33"/>
            <w:noWrap/>
            <w:vAlign w:val="bottom"/>
            <w:hideMark/>
          </w:tcPr>
          <w:p w14:paraId="3DF99E87" w14:textId="65A3610C" w:rsidR="00205AE5" w:rsidRPr="00205AE5" w:rsidRDefault="00205AE5" w:rsidP="0056749C">
            <w:pPr>
              <w:pStyle w:val="TabelaglavadesnoUMAR"/>
              <w:rPr>
                <w:lang w:eastAsia="sl-SI"/>
              </w:rPr>
            </w:pPr>
            <w:r w:rsidRPr="00205AE5">
              <w:rPr>
                <w:lang w:eastAsia="sl-SI"/>
              </w:rPr>
              <w:t>2081</w:t>
            </w:r>
            <w:r w:rsidR="00692C1B">
              <w:rPr>
                <w:lang w:eastAsia="sl-SI"/>
              </w:rPr>
              <w:t>–</w:t>
            </w:r>
            <w:r w:rsidRPr="00205AE5">
              <w:rPr>
                <w:lang w:eastAsia="sl-SI"/>
              </w:rPr>
              <w:t>2090</w:t>
            </w:r>
          </w:p>
        </w:tc>
        <w:tc>
          <w:tcPr>
            <w:tcW w:w="439" w:type="pct"/>
            <w:tcBorders>
              <w:top w:val="single" w:sz="4" w:space="0" w:color="auto"/>
              <w:bottom w:val="single" w:sz="8" w:space="0" w:color="auto"/>
            </w:tcBorders>
            <w:shd w:val="clear" w:color="auto" w:fill="DCDCDC" w:themeFill="accent4" w:themeFillTint="33"/>
            <w:noWrap/>
            <w:vAlign w:val="bottom"/>
            <w:hideMark/>
          </w:tcPr>
          <w:p w14:paraId="2C43823A" w14:textId="67A6E4EC" w:rsidR="00205AE5" w:rsidRPr="00205AE5" w:rsidRDefault="00205AE5" w:rsidP="0056749C">
            <w:pPr>
              <w:pStyle w:val="TabelaglavadesnoUMAR"/>
              <w:rPr>
                <w:lang w:eastAsia="sl-SI"/>
              </w:rPr>
            </w:pPr>
            <w:r w:rsidRPr="00205AE5">
              <w:rPr>
                <w:lang w:eastAsia="sl-SI"/>
              </w:rPr>
              <w:t>2091</w:t>
            </w:r>
            <w:r w:rsidR="00692C1B">
              <w:rPr>
                <w:lang w:eastAsia="sl-SI"/>
              </w:rPr>
              <w:t>–</w:t>
            </w:r>
            <w:r w:rsidRPr="00205AE5">
              <w:rPr>
                <w:lang w:eastAsia="sl-SI"/>
              </w:rPr>
              <w:t>2100</w:t>
            </w:r>
          </w:p>
        </w:tc>
      </w:tr>
      <w:tr w:rsidR="00692C1B" w:rsidRPr="00205AE5" w14:paraId="39A1DD1C" w14:textId="77777777" w:rsidTr="00F801ED">
        <w:trPr>
          <w:trHeight w:val="264"/>
        </w:trPr>
        <w:tc>
          <w:tcPr>
            <w:tcW w:w="1486" w:type="pct"/>
            <w:tcBorders>
              <w:top w:val="single" w:sz="8" w:space="0" w:color="auto"/>
            </w:tcBorders>
            <w:shd w:val="clear" w:color="auto" w:fill="auto"/>
            <w:noWrap/>
            <w:vAlign w:val="bottom"/>
            <w:hideMark/>
          </w:tcPr>
          <w:p w14:paraId="381B6B9B" w14:textId="213BC19E" w:rsidR="00205AE5" w:rsidRPr="00205AE5" w:rsidRDefault="00205AE5" w:rsidP="0056749C">
            <w:pPr>
              <w:pStyle w:val="TabelalevoUMAR"/>
              <w:rPr>
                <w:rFonts w:cs="Arial"/>
                <w:color w:val="000000"/>
                <w:lang w:eastAsia="sl-SI"/>
              </w:rPr>
            </w:pPr>
            <w:r w:rsidRPr="00205AE5">
              <w:rPr>
                <w:rFonts w:cs="Arial"/>
                <w:color w:val="000000"/>
                <w:lang w:eastAsia="sl-SI"/>
              </w:rPr>
              <w:t>Št</w:t>
            </w:r>
            <w:r w:rsidR="00A50C50">
              <w:rPr>
                <w:rFonts w:cs="Arial"/>
                <w:color w:val="000000"/>
                <w:lang w:eastAsia="sl-SI"/>
              </w:rPr>
              <w:t>evilo</w:t>
            </w:r>
            <w:r w:rsidRPr="00205AE5">
              <w:rPr>
                <w:rFonts w:cs="Arial"/>
                <w:color w:val="000000"/>
                <w:lang w:eastAsia="sl-SI"/>
              </w:rPr>
              <w:t xml:space="preserve"> prebivalcev</w:t>
            </w:r>
            <w:r w:rsidR="00F83917">
              <w:rPr>
                <w:rFonts w:cs="Arial"/>
                <w:color w:val="000000"/>
                <w:lang w:eastAsia="sl-SI"/>
              </w:rPr>
              <w:t>, v 1.000</w:t>
            </w:r>
          </w:p>
        </w:tc>
        <w:tc>
          <w:tcPr>
            <w:tcW w:w="439" w:type="pct"/>
            <w:tcBorders>
              <w:top w:val="single" w:sz="8" w:space="0" w:color="auto"/>
            </w:tcBorders>
            <w:shd w:val="clear" w:color="auto" w:fill="auto"/>
            <w:noWrap/>
            <w:vAlign w:val="bottom"/>
            <w:hideMark/>
          </w:tcPr>
          <w:p w14:paraId="0EFBE5E3" w14:textId="3FDFE317" w:rsidR="00205AE5" w:rsidRPr="00205AE5" w:rsidRDefault="00205AE5" w:rsidP="0056749C">
            <w:pPr>
              <w:pStyle w:val="TabeladesnoUMAR"/>
              <w:rPr>
                <w:lang w:eastAsia="sl-SI"/>
              </w:rPr>
            </w:pPr>
            <w:r w:rsidRPr="00205AE5">
              <w:rPr>
                <w:lang w:eastAsia="sl-SI"/>
              </w:rPr>
              <w:t>2.118</w:t>
            </w:r>
            <w:r w:rsidR="00F83917">
              <w:rPr>
                <w:lang w:eastAsia="sl-SI"/>
              </w:rPr>
              <w:t>,4</w:t>
            </w:r>
          </w:p>
        </w:tc>
        <w:tc>
          <w:tcPr>
            <w:tcW w:w="439" w:type="pct"/>
            <w:tcBorders>
              <w:top w:val="single" w:sz="8" w:space="0" w:color="auto"/>
            </w:tcBorders>
            <w:shd w:val="clear" w:color="auto" w:fill="auto"/>
            <w:noWrap/>
            <w:vAlign w:val="bottom"/>
            <w:hideMark/>
          </w:tcPr>
          <w:p w14:paraId="70AF015D" w14:textId="2745F695" w:rsidR="00205AE5" w:rsidRPr="00205AE5" w:rsidRDefault="00205AE5" w:rsidP="0056749C">
            <w:pPr>
              <w:pStyle w:val="TabeladesnoUMAR"/>
              <w:rPr>
                <w:lang w:eastAsia="sl-SI"/>
              </w:rPr>
            </w:pPr>
            <w:r w:rsidRPr="00205AE5">
              <w:rPr>
                <w:lang w:eastAsia="sl-SI"/>
              </w:rPr>
              <w:t>2.113</w:t>
            </w:r>
            <w:r w:rsidR="00F83917">
              <w:rPr>
                <w:lang w:eastAsia="sl-SI"/>
              </w:rPr>
              <w:t>,5</w:t>
            </w:r>
          </w:p>
        </w:tc>
        <w:tc>
          <w:tcPr>
            <w:tcW w:w="439" w:type="pct"/>
            <w:tcBorders>
              <w:top w:val="single" w:sz="8" w:space="0" w:color="auto"/>
            </w:tcBorders>
            <w:shd w:val="clear" w:color="auto" w:fill="auto"/>
            <w:noWrap/>
            <w:vAlign w:val="bottom"/>
            <w:hideMark/>
          </w:tcPr>
          <w:p w14:paraId="04D44D11" w14:textId="5E3A8A65" w:rsidR="00205AE5" w:rsidRPr="00205AE5" w:rsidRDefault="00205AE5" w:rsidP="0056749C">
            <w:pPr>
              <w:pStyle w:val="TabeladesnoUMAR"/>
              <w:rPr>
                <w:lang w:eastAsia="sl-SI"/>
              </w:rPr>
            </w:pPr>
            <w:r w:rsidRPr="00205AE5">
              <w:rPr>
                <w:lang w:eastAsia="sl-SI"/>
              </w:rPr>
              <w:t>2.103</w:t>
            </w:r>
            <w:r w:rsidR="00A50C50">
              <w:rPr>
                <w:lang w:eastAsia="sl-SI"/>
              </w:rPr>
              <w:t>,3</w:t>
            </w:r>
          </w:p>
        </w:tc>
        <w:tc>
          <w:tcPr>
            <w:tcW w:w="439" w:type="pct"/>
            <w:tcBorders>
              <w:top w:val="single" w:sz="8" w:space="0" w:color="auto"/>
            </w:tcBorders>
            <w:shd w:val="clear" w:color="auto" w:fill="auto"/>
            <w:noWrap/>
            <w:vAlign w:val="bottom"/>
            <w:hideMark/>
          </w:tcPr>
          <w:p w14:paraId="5F9D3773" w14:textId="4B70EF67" w:rsidR="00205AE5" w:rsidRPr="00205AE5" w:rsidRDefault="00205AE5" w:rsidP="0056749C">
            <w:pPr>
              <w:pStyle w:val="TabeladesnoUMAR"/>
              <w:rPr>
                <w:lang w:eastAsia="sl-SI"/>
              </w:rPr>
            </w:pPr>
            <w:r w:rsidRPr="00205AE5">
              <w:rPr>
                <w:lang w:eastAsia="sl-SI"/>
              </w:rPr>
              <w:t>2.071</w:t>
            </w:r>
            <w:r w:rsidR="00A50C50">
              <w:rPr>
                <w:lang w:eastAsia="sl-SI"/>
              </w:rPr>
              <w:t>,6</w:t>
            </w:r>
          </w:p>
        </w:tc>
        <w:tc>
          <w:tcPr>
            <w:tcW w:w="439" w:type="pct"/>
            <w:tcBorders>
              <w:top w:val="single" w:sz="8" w:space="0" w:color="auto"/>
            </w:tcBorders>
            <w:shd w:val="clear" w:color="auto" w:fill="auto"/>
            <w:noWrap/>
            <w:vAlign w:val="bottom"/>
            <w:hideMark/>
          </w:tcPr>
          <w:p w14:paraId="2D653269" w14:textId="65FED0DA" w:rsidR="00205AE5" w:rsidRPr="00205AE5" w:rsidRDefault="00205AE5" w:rsidP="0056749C">
            <w:pPr>
              <w:pStyle w:val="TabeladesnoUMAR"/>
              <w:rPr>
                <w:lang w:eastAsia="sl-SI"/>
              </w:rPr>
            </w:pPr>
            <w:r w:rsidRPr="00205AE5">
              <w:rPr>
                <w:lang w:eastAsia="sl-SI"/>
              </w:rPr>
              <w:t>2.022</w:t>
            </w:r>
            <w:r w:rsidR="00A50C50">
              <w:rPr>
                <w:lang w:eastAsia="sl-SI"/>
              </w:rPr>
              <w:t>,</w:t>
            </w:r>
            <w:r w:rsidRPr="00205AE5">
              <w:rPr>
                <w:lang w:eastAsia="sl-SI"/>
              </w:rPr>
              <w:t>7</w:t>
            </w:r>
          </w:p>
        </w:tc>
        <w:tc>
          <w:tcPr>
            <w:tcW w:w="439" w:type="pct"/>
            <w:tcBorders>
              <w:top w:val="single" w:sz="8" w:space="0" w:color="auto"/>
            </w:tcBorders>
            <w:shd w:val="clear" w:color="auto" w:fill="auto"/>
            <w:noWrap/>
            <w:vAlign w:val="bottom"/>
            <w:hideMark/>
          </w:tcPr>
          <w:p w14:paraId="1E4BB4BF" w14:textId="3B836486" w:rsidR="00205AE5" w:rsidRPr="00205AE5" w:rsidRDefault="00205AE5" w:rsidP="0056749C">
            <w:pPr>
              <w:pStyle w:val="TabeladesnoUMAR"/>
              <w:rPr>
                <w:lang w:eastAsia="sl-SI"/>
              </w:rPr>
            </w:pPr>
            <w:r w:rsidRPr="00205AE5">
              <w:rPr>
                <w:lang w:eastAsia="sl-SI"/>
              </w:rPr>
              <w:t>1.984</w:t>
            </w:r>
            <w:r w:rsidR="00A50C50">
              <w:rPr>
                <w:lang w:eastAsia="sl-SI"/>
              </w:rPr>
              <w:t>,9</w:t>
            </w:r>
          </w:p>
        </w:tc>
        <w:tc>
          <w:tcPr>
            <w:tcW w:w="439" w:type="pct"/>
            <w:tcBorders>
              <w:top w:val="single" w:sz="8" w:space="0" w:color="auto"/>
            </w:tcBorders>
            <w:shd w:val="clear" w:color="auto" w:fill="auto"/>
            <w:noWrap/>
            <w:vAlign w:val="bottom"/>
            <w:hideMark/>
          </w:tcPr>
          <w:p w14:paraId="5961CB9E" w14:textId="0F0CB42F" w:rsidR="00205AE5" w:rsidRPr="00205AE5" w:rsidRDefault="00205AE5" w:rsidP="0056749C">
            <w:pPr>
              <w:pStyle w:val="TabeladesnoUMAR"/>
              <w:rPr>
                <w:lang w:eastAsia="sl-SI"/>
              </w:rPr>
            </w:pPr>
            <w:r w:rsidRPr="00205AE5">
              <w:rPr>
                <w:lang w:eastAsia="sl-SI"/>
              </w:rPr>
              <w:t>1.965</w:t>
            </w:r>
            <w:r w:rsidR="00A50C50">
              <w:rPr>
                <w:lang w:eastAsia="sl-SI"/>
              </w:rPr>
              <w:t>,</w:t>
            </w:r>
            <w:r w:rsidRPr="00205AE5">
              <w:rPr>
                <w:lang w:eastAsia="sl-SI"/>
              </w:rPr>
              <w:t>8</w:t>
            </w:r>
          </w:p>
        </w:tc>
        <w:tc>
          <w:tcPr>
            <w:tcW w:w="439" w:type="pct"/>
            <w:tcBorders>
              <w:top w:val="single" w:sz="8" w:space="0" w:color="auto"/>
            </w:tcBorders>
            <w:shd w:val="clear" w:color="auto" w:fill="auto"/>
            <w:noWrap/>
            <w:vAlign w:val="bottom"/>
            <w:hideMark/>
          </w:tcPr>
          <w:p w14:paraId="17CD4A23" w14:textId="10A67BD2" w:rsidR="00205AE5" w:rsidRPr="00205AE5" w:rsidRDefault="00205AE5" w:rsidP="0056749C">
            <w:pPr>
              <w:pStyle w:val="TabeladesnoUMAR"/>
              <w:rPr>
                <w:lang w:eastAsia="sl-SI"/>
              </w:rPr>
            </w:pPr>
            <w:r w:rsidRPr="00205AE5">
              <w:rPr>
                <w:lang w:eastAsia="sl-SI"/>
              </w:rPr>
              <w:t>1.955</w:t>
            </w:r>
            <w:r w:rsidR="00A50C50">
              <w:rPr>
                <w:lang w:eastAsia="sl-SI"/>
              </w:rPr>
              <w:t>,</w:t>
            </w:r>
            <w:r w:rsidRPr="00205AE5">
              <w:rPr>
                <w:lang w:eastAsia="sl-SI"/>
              </w:rPr>
              <w:t>3</w:t>
            </w:r>
          </w:p>
        </w:tc>
      </w:tr>
      <w:tr w:rsidR="00692C1B" w:rsidRPr="00205AE5" w14:paraId="596435AA" w14:textId="77777777" w:rsidTr="00BB5BF2">
        <w:trPr>
          <w:trHeight w:val="264"/>
        </w:trPr>
        <w:tc>
          <w:tcPr>
            <w:tcW w:w="1486" w:type="pct"/>
            <w:shd w:val="clear" w:color="auto" w:fill="auto"/>
            <w:noWrap/>
            <w:vAlign w:val="bottom"/>
            <w:hideMark/>
          </w:tcPr>
          <w:p w14:paraId="11AC3E16" w14:textId="6CAAF289" w:rsidR="00205AE5" w:rsidRPr="00205AE5" w:rsidRDefault="00A50C50" w:rsidP="0056749C">
            <w:pPr>
              <w:pStyle w:val="TabelalevoUMAR"/>
              <w:rPr>
                <w:rFonts w:cs="Arial"/>
                <w:color w:val="000000"/>
                <w:lang w:eastAsia="sl-SI"/>
              </w:rPr>
            </w:pPr>
            <w:r>
              <w:rPr>
                <w:rFonts w:cs="Arial"/>
                <w:color w:val="000000"/>
                <w:lang w:eastAsia="sl-SI"/>
              </w:rPr>
              <w:t>Rast št</w:t>
            </w:r>
            <w:r w:rsidR="00FC0BB3">
              <w:rPr>
                <w:rFonts w:cs="Arial"/>
                <w:color w:val="000000"/>
                <w:lang w:eastAsia="sl-SI"/>
              </w:rPr>
              <w:t>evila</w:t>
            </w:r>
            <w:r>
              <w:rPr>
                <w:rFonts w:cs="Arial"/>
                <w:color w:val="000000"/>
                <w:lang w:eastAsia="sl-SI"/>
              </w:rPr>
              <w:t xml:space="preserve"> prebivalcev, v %</w:t>
            </w:r>
          </w:p>
        </w:tc>
        <w:tc>
          <w:tcPr>
            <w:tcW w:w="439" w:type="pct"/>
            <w:shd w:val="clear" w:color="auto" w:fill="auto"/>
            <w:noWrap/>
            <w:vAlign w:val="bottom"/>
            <w:hideMark/>
          </w:tcPr>
          <w:p w14:paraId="17D68D57" w14:textId="77777777" w:rsidR="00205AE5" w:rsidRPr="00205AE5" w:rsidRDefault="00205AE5" w:rsidP="0056749C">
            <w:pPr>
              <w:pStyle w:val="TabeladesnoUMAR"/>
              <w:rPr>
                <w:lang w:eastAsia="sl-SI"/>
              </w:rPr>
            </w:pPr>
            <w:r w:rsidRPr="00205AE5">
              <w:rPr>
                <w:lang w:eastAsia="sl-SI"/>
              </w:rPr>
              <w:t xml:space="preserve">0,1 </w:t>
            </w:r>
          </w:p>
        </w:tc>
        <w:tc>
          <w:tcPr>
            <w:tcW w:w="439" w:type="pct"/>
            <w:shd w:val="clear" w:color="auto" w:fill="auto"/>
            <w:noWrap/>
            <w:vAlign w:val="bottom"/>
            <w:hideMark/>
          </w:tcPr>
          <w:p w14:paraId="1CF8F0B0" w14:textId="77777777" w:rsidR="00205AE5" w:rsidRPr="00205AE5" w:rsidRDefault="00205AE5" w:rsidP="0056749C">
            <w:pPr>
              <w:pStyle w:val="TabeladesnoUMAR"/>
              <w:rPr>
                <w:lang w:eastAsia="sl-SI"/>
              </w:rPr>
            </w:pPr>
            <w:r w:rsidRPr="00205AE5">
              <w:rPr>
                <w:lang w:eastAsia="sl-SI"/>
              </w:rPr>
              <w:t xml:space="preserve">0,0 </w:t>
            </w:r>
          </w:p>
        </w:tc>
        <w:tc>
          <w:tcPr>
            <w:tcW w:w="439" w:type="pct"/>
            <w:shd w:val="clear" w:color="auto" w:fill="auto"/>
            <w:noWrap/>
            <w:vAlign w:val="bottom"/>
            <w:hideMark/>
          </w:tcPr>
          <w:p w14:paraId="15365E9D" w14:textId="77777777" w:rsidR="00205AE5" w:rsidRPr="00205AE5" w:rsidRDefault="00205AE5" w:rsidP="0056749C">
            <w:pPr>
              <w:pStyle w:val="TabeladesnoUMAR"/>
              <w:rPr>
                <w:lang w:eastAsia="sl-SI"/>
              </w:rPr>
            </w:pPr>
            <w:r w:rsidRPr="00205AE5">
              <w:rPr>
                <w:lang w:eastAsia="sl-SI"/>
              </w:rPr>
              <w:t xml:space="preserve">-0,1 </w:t>
            </w:r>
          </w:p>
        </w:tc>
        <w:tc>
          <w:tcPr>
            <w:tcW w:w="439" w:type="pct"/>
            <w:shd w:val="clear" w:color="auto" w:fill="auto"/>
            <w:noWrap/>
            <w:vAlign w:val="bottom"/>
            <w:hideMark/>
          </w:tcPr>
          <w:p w14:paraId="61D87C3C" w14:textId="77777777" w:rsidR="00205AE5" w:rsidRPr="00205AE5" w:rsidRDefault="00205AE5" w:rsidP="0056749C">
            <w:pPr>
              <w:pStyle w:val="TabeladesnoUMAR"/>
              <w:rPr>
                <w:lang w:eastAsia="sl-SI"/>
              </w:rPr>
            </w:pPr>
            <w:r w:rsidRPr="00205AE5">
              <w:rPr>
                <w:lang w:eastAsia="sl-SI"/>
              </w:rPr>
              <w:t xml:space="preserve">-0,2 </w:t>
            </w:r>
          </w:p>
        </w:tc>
        <w:tc>
          <w:tcPr>
            <w:tcW w:w="439" w:type="pct"/>
            <w:shd w:val="clear" w:color="auto" w:fill="auto"/>
            <w:noWrap/>
            <w:vAlign w:val="bottom"/>
            <w:hideMark/>
          </w:tcPr>
          <w:p w14:paraId="4922E369" w14:textId="77777777" w:rsidR="00205AE5" w:rsidRPr="00205AE5" w:rsidRDefault="00205AE5" w:rsidP="0056749C">
            <w:pPr>
              <w:pStyle w:val="TabeladesnoUMAR"/>
              <w:rPr>
                <w:lang w:eastAsia="sl-SI"/>
              </w:rPr>
            </w:pPr>
            <w:r w:rsidRPr="00205AE5">
              <w:rPr>
                <w:lang w:eastAsia="sl-SI"/>
              </w:rPr>
              <w:t xml:space="preserve">-0,2 </w:t>
            </w:r>
          </w:p>
        </w:tc>
        <w:tc>
          <w:tcPr>
            <w:tcW w:w="439" w:type="pct"/>
            <w:shd w:val="clear" w:color="auto" w:fill="auto"/>
            <w:noWrap/>
            <w:vAlign w:val="bottom"/>
            <w:hideMark/>
          </w:tcPr>
          <w:p w14:paraId="5A7B1646" w14:textId="77777777" w:rsidR="00205AE5" w:rsidRPr="00205AE5" w:rsidRDefault="00205AE5" w:rsidP="0056749C">
            <w:pPr>
              <w:pStyle w:val="TabeladesnoUMAR"/>
              <w:rPr>
                <w:lang w:eastAsia="sl-SI"/>
              </w:rPr>
            </w:pPr>
            <w:r w:rsidRPr="00205AE5">
              <w:rPr>
                <w:lang w:eastAsia="sl-SI"/>
              </w:rPr>
              <w:t xml:space="preserve">-0,1 </w:t>
            </w:r>
          </w:p>
        </w:tc>
        <w:tc>
          <w:tcPr>
            <w:tcW w:w="439" w:type="pct"/>
            <w:shd w:val="clear" w:color="auto" w:fill="auto"/>
            <w:noWrap/>
            <w:vAlign w:val="bottom"/>
            <w:hideMark/>
          </w:tcPr>
          <w:p w14:paraId="3F12612F" w14:textId="77777777" w:rsidR="00205AE5" w:rsidRPr="00205AE5" w:rsidRDefault="00205AE5" w:rsidP="0056749C">
            <w:pPr>
              <w:pStyle w:val="TabeladesnoUMAR"/>
              <w:rPr>
                <w:lang w:eastAsia="sl-SI"/>
              </w:rPr>
            </w:pPr>
            <w:r w:rsidRPr="00205AE5">
              <w:rPr>
                <w:lang w:eastAsia="sl-SI"/>
              </w:rPr>
              <w:t xml:space="preserve">-0,1 </w:t>
            </w:r>
          </w:p>
        </w:tc>
        <w:tc>
          <w:tcPr>
            <w:tcW w:w="439" w:type="pct"/>
            <w:shd w:val="clear" w:color="auto" w:fill="auto"/>
            <w:noWrap/>
            <w:vAlign w:val="bottom"/>
            <w:hideMark/>
          </w:tcPr>
          <w:p w14:paraId="3F27152D" w14:textId="77777777" w:rsidR="00205AE5" w:rsidRPr="00205AE5" w:rsidRDefault="00205AE5" w:rsidP="0056749C">
            <w:pPr>
              <w:pStyle w:val="TabeladesnoUMAR"/>
              <w:rPr>
                <w:lang w:eastAsia="sl-SI"/>
              </w:rPr>
            </w:pPr>
            <w:r w:rsidRPr="00205AE5">
              <w:rPr>
                <w:lang w:eastAsia="sl-SI"/>
              </w:rPr>
              <w:t xml:space="preserve">0,0 </w:t>
            </w:r>
          </w:p>
        </w:tc>
      </w:tr>
      <w:tr w:rsidR="00692C1B" w:rsidRPr="00205AE5" w14:paraId="57DA2999" w14:textId="77777777" w:rsidTr="00BB5BF2">
        <w:trPr>
          <w:trHeight w:val="264"/>
        </w:trPr>
        <w:tc>
          <w:tcPr>
            <w:tcW w:w="1486" w:type="pct"/>
            <w:shd w:val="clear" w:color="auto" w:fill="auto"/>
            <w:noWrap/>
            <w:vAlign w:val="bottom"/>
            <w:hideMark/>
          </w:tcPr>
          <w:p w14:paraId="746B9E2F" w14:textId="55ED75DC" w:rsidR="00205AE5" w:rsidRPr="00205AE5" w:rsidRDefault="00205AE5" w:rsidP="0056749C">
            <w:pPr>
              <w:pStyle w:val="TabelalevoUMAR"/>
              <w:rPr>
                <w:rFonts w:cs="Arial"/>
                <w:color w:val="000000"/>
                <w:lang w:eastAsia="sl-SI"/>
              </w:rPr>
            </w:pPr>
            <w:r w:rsidRPr="00205AE5">
              <w:rPr>
                <w:rFonts w:cs="Arial"/>
                <w:color w:val="000000"/>
                <w:lang w:eastAsia="sl-SI"/>
              </w:rPr>
              <w:t>St</w:t>
            </w:r>
            <w:r w:rsidR="00FC0BB3">
              <w:rPr>
                <w:rFonts w:cs="Arial"/>
                <w:color w:val="000000"/>
                <w:lang w:eastAsia="sl-SI"/>
              </w:rPr>
              <w:t xml:space="preserve">opnja </w:t>
            </w:r>
            <w:r w:rsidRPr="00205AE5">
              <w:rPr>
                <w:rFonts w:cs="Arial"/>
                <w:color w:val="000000"/>
                <w:lang w:eastAsia="sl-SI"/>
              </w:rPr>
              <w:t>rodnosti</w:t>
            </w:r>
          </w:p>
        </w:tc>
        <w:tc>
          <w:tcPr>
            <w:tcW w:w="439" w:type="pct"/>
            <w:shd w:val="clear" w:color="auto" w:fill="auto"/>
            <w:noWrap/>
            <w:vAlign w:val="bottom"/>
            <w:hideMark/>
          </w:tcPr>
          <w:p w14:paraId="5FA072B3" w14:textId="77777777" w:rsidR="00205AE5" w:rsidRPr="00205AE5" w:rsidRDefault="00205AE5" w:rsidP="0056749C">
            <w:pPr>
              <w:pStyle w:val="TabeladesnoUMAR"/>
              <w:rPr>
                <w:lang w:eastAsia="sl-SI"/>
              </w:rPr>
            </w:pPr>
            <w:r w:rsidRPr="00205AE5">
              <w:rPr>
                <w:lang w:eastAsia="sl-SI"/>
              </w:rPr>
              <w:t>1,61</w:t>
            </w:r>
          </w:p>
        </w:tc>
        <w:tc>
          <w:tcPr>
            <w:tcW w:w="439" w:type="pct"/>
            <w:shd w:val="clear" w:color="auto" w:fill="auto"/>
            <w:noWrap/>
            <w:vAlign w:val="bottom"/>
            <w:hideMark/>
          </w:tcPr>
          <w:p w14:paraId="295D2029" w14:textId="77777777" w:rsidR="00205AE5" w:rsidRPr="00205AE5" w:rsidRDefault="00205AE5" w:rsidP="0056749C">
            <w:pPr>
              <w:pStyle w:val="TabeladesnoUMAR"/>
              <w:rPr>
                <w:lang w:eastAsia="sl-SI"/>
              </w:rPr>
            </w:pPr>
            <w:r w:rsidRPr="00205AE5">
              <w:rPr>
                <w:lang w:eastAsia="sl-SI"/>
              </w:rPr>
              <w:t>1,64</w:t>
            </w:r>
          </w:p>
        </w:tc>
        <w:tc>
          <w:tcPr>
            <w:tcW w:w="439" w:type="pct"/>
            <w:shd w:val="clear" w:color="auto" w:fill="auto"/>
            <w:noWrap/>
            <w:vAlign w:val="bottom"/>
            <w:hideMark/>
          </w:tcPr>
          <w:p w14:paraId="74A78448" w14:textId="77777777" w:rsidR="00205AE5" w:rsidRPr="00205AE5" w:rsidRDefault="00205AE5" w:rsidP="0056749C">
            <w:pPr>
              <w:pStyle w:val="TabeladesnoUMAR"/>
              <w:rPr>
                <w:lang w:eastAsia="sl-SI"/>
              </w:rPr>
            </w:pPr>
            <w:r w:rsidRPr="00205AE5">
              <w:rPr>
                <w:lang w:eastAsia="sl-SI"/>
              </w:rPr>
              <w:t>1,66</w:t>
            </w:r>
          </w:p>
        </w:tc>
        <w:tc>
          <w:tcPr>
            <w:tcW w:w="439" w:type="pct"/>
            <w:shd w:val="clear" w:color="auto" w:fill="auto"/>
            <w:noWrap/>
            <w:vAlign w:val="bottom"/>
            <w:hideMark/>
          </w:tcPr>
          <w:p w14:paraId="598AB19F" w14:textId="77777777" w:rsidR="00205AE5" w:rsidRPr="00205AE5" w:rsidRDefault="00205AE5" w:rsidP="0056749C">
            <w:pPr>
              <w:pStyle w:val="TabeladesnoUMAR"/>
              <w:rPr>
                <w:lang w:eastAsia="sl-SI"/>
              </w:rPr>
            </w:pPr>
            <w:r w:rsidRPr="00205AE5">
              <w:rPr>
                <w:lang w:eastAsia="sl-SI"/>
              </w:rPr>
              <w:t>1,68</w:t>
            </w:r>
          </w:p>
        </w:tc>
        <w:tc>
          <w:tcPr>
            <w:tcW w:w="439" w:type="pct"/>
            <w:shd w:val="clear" w:color="auto" w:fill="auto"/>
            <w:noWrap/>
            <w:vAlign w:val="bottom"/>
            <w:hideMark/>
          </w:tcPr>
          <w:p w14:paraId="38CCF728" w14:textId="77777777" w:rsidR="00205AE5" w:rsidRPr="00205AE5" w:rsidRDefault="00205AE5" w:rsidP="0056749C">
            <w:pPr>
              <w:pStyle w:val="TabeladesnoUMAR"/>
              <w:rPr>
                <w:lang w:eastAsia="sl-SI"/>
              </w:rPr>
            </w:pPr>
            <w:r w:rsidRPr="00205AE5">
              <w:rPr>
                <w:lang w:eastAsia="sl-SI"/>
              </w:rPr>
              <w:t>1,69</w:t>
            </w:r>
          </w:p>
        </w:tc>
        <w:tc>
          <w:tcPr>
            <w:tcW w:w="439" w:type="pct"/>
            <w:shd w:val="clear" w:color="auto" w:fill="auto"/>
            <w:noWrap/>
            <w:vAlign w:val="bottom"/>
            <w:hideMark/>
          </w:tcPr>
          <w:p w14:paraId="2A327D91" w14:textId="77777777" w:rsidR="00205AE5" w:rsidRPr="00205AE5" w:rsidRDefault="00205AE5" w:rsidP="0056749C">
            <w:pPr>
              <w:pStyle w:val="TabeladesnoUMAR"/>
              <w:rPr>
                <w:lang w:eastAsia="sl-SI"/>
              </w:rPr>
            </w:pPr>
            <w:r w:rsidRPr="00205AE5">
              <w:rPr>
                <w:lang w:eastAsia="sl-SI"/>
              </w:rPr>
              <w:t>1,70</w:t>
            </w:r>
          </w:p>
        </w:tc>
        <w:tc>
          <w:tcPr>
            <w:tcW w:w="439" w:type="pct"/>
            <w:shd w:val="clear" w:color="auto" w:fill="auto"/>
            <w:noWrap/>
            <w:vAlign w:val="bottom"/>
            <w:hideMark/>
          </w:tcPr>
          <w:p w14:paraId="6E07FAD1" w14:textId="77777777" w:rsidR="00205AE5" w:rsidRPr="00205AE5" w:rsidRDefault="00205AE5" w:rsidP="0056749C">
            <w:pPr>
              <w:pStyle w:val="TabeladesnoUMAR"/>
              <w:rPr>
                <w:lang w:eastAsia="sl-SI"/>
              </w:rPr>
            </w:pPr>
            <w:r w:rsidRPr="00205AE5">
              <w:rPr>
                <w:lang w:eastAsia="sl-SI"/>
              </w:rPr>
              <w:t>1,71</w:t>
            </w:r>
          </w:p>
        </w:tc>
        <w:tc>
          <w:tcPr>
            <w:tcW w:w="439" w:type="pct"/>
            <w:shd w:val="clear" w:color="auto" w:fill="auto"/>
            <w:noWrap/>
            <w:vAlign w:val="bottom"/>
            <w:hideMark/>
          </w:tcPr>
          <w:p w14:paraId="432E0748" w14:textId="77777777" w:rsidR="00205AE5" w:rsidRPr="00205AE5" w:rsidRDefault="00205AE5" w:rsidP="0056749C">
            <w:pPr>
              <w:pStyle w:val="TabeladesnoUMAR"/>
              <w:rPr>
                <w:lang w:eastAsia="sl-SI"/>
              </w:rPr>
            </w:pPr>
            <w:r w:rsidRPr="00205AE5">
              <w:rPr>
                <w:lang w:eastAsia="sl-SI"/>
              </w:rPr>
              <w:t>1,72</w:t>
            </w:r>
          </w:p>
        </w:tc>
      </w:tr>
      <w:tr w:rsidR="00692C1B" w:rsidRPr="00205AE5" w14:paraId="29B395FC" w14:textId="77777777" w:rsidTr="00BB5BF2">
        <w:trPr>
          <w:trHeight w:val="264"/>
        </w:trPr>
        <w:tc>
          <w:tcPr>
            <w:tcW w:w="1486" w:type="pct"/>
            <w:shd w:val="clear" w:color="auto" w:fill="auto"/>
            <w:noWrap/>
            <w:vAlign w:val="bottom"/>
            <w:hideMark/>
          </w:tcPr>
          <w:p w14:paraId="677AC79E" w14:textId="668B4EF5" w:rsidR="00205AE5" w:rsidRPr="00205AE5" w:rsidRDefault="00205AE5" w:rsidP="0056749C">
            <w:pPr>
              <w:pStyle w:val="TabelalevoUMAR"/>
              <w:rPr>
                <w:rFonts w:cs="Arial"/>
                <w:color w:val="000000"/>
                <w:lang w:eastAsia="sl-SI"/>
              </w:rPr>
            </w:pPr>
            <w:r w:rsidRPr="00205AE5">
              <w:rPr>
                <w:rFonts w:cs="Arial"/>
                <w:color w:val="000000"/>
                <w:lang w:eastAsia="sl-SI"/>
              </w:rPr>
              <w:t>P</w:t>
            </w:r>
            <w:r w:rsidR="00FC0BB3">
              <w:rPr>
                <w:rFonts w:cs="Arial"/>
                <w:color w:val="000000"/>
                <w:lang w:eastAsia="sl-SI"/>
              </w:rPr>
              <w:t>ričakovano trajanje življen</w:t>
            </w:r>
            <w:r w:rsidR="00692C1B">
              <w:rPr>
                <w:rFonts w:cs="Arial"/>
                <w:color w:val="000000"/>
                <w:lang w:eastAsia="sl-SI"/>
              </w:rPr>
              <w:t>j</w:t>
            </w:r>
            <w:r w:rsidR="00FC0BB3">
              <w:rPr>
                <w:rFonts w:cs="Arial"/>
                <w:color w:val="000000"/>
                <w:lang w:eastAsia="sl-SI"/>
              </w:rPr>
              <w:t>a</w:t>
            </w:r>
            <w:r w:rsidRPr="00205AE5">
              <w:rPr>
                <w:rFonts w:cs="Arial"/>
                <w:color w:val="000000"/>
                <w:lang w:eastAsia="sl-SI"/>
              </w:rPr>
              <w:t xml:space="preserve"> </w:t>
            </w:r>
            <w:r w:rsidR="00BB5BF2">
              <w:rPr>
                <w:rFonts w:cs="Arial"/>
                <w:color w:val="000000"/>
                <w:lang w:eastAsia="sl-SI"/>
              </w:rPr>
              <w:br/>
            </w:r>
            <w:r w:rsidRPr="00205AE5">
              <w:rPr>
                <w:rFonts w:cs="Arial"/>
                <w:color w:val="000000"/>
                <w:lang w:eastAsia="sl-SI"/>
              </w:rPr>
              <w:t xml:space="preserve">ob rojstvu </w:t>
            </w:r>
            <w:r w:rsidR="00FC0BB3">
              <w:rPr>
                <w:rFonts w:cs="Arial"/>
                <w:color w:val="000000"/>
                <w:lang w:eastAsia="sl-SI"/>
              </w:rPr>
              <w:t>–</w:t>
            </w:r>
            <w:r w:rsidRPr="00205AE5">
              <w:rPr>
                <w:rFonts w:cs="Arial"/>
                <w:color w:val="000000"/>
                <w:lang w:eastAsia="sl-SI"/>
              </w:rPr>
              <w:t xml:space="preserve"> M</w:t>
            </w:r>
          </w:p>
        </w:tc>
        <w:tc>
          <w:tcPr>
            <w:tcW w:w="439" w:type="pct"/>
            <w:shd w:val="clear" w:color="auto" w:fill="auto"/>
            <w:noWrap/>
            <w:vAlign w:val="bottom"/>
            <w:hideMark/>
          </w:tcPr>
          <w:p w14:paraId="6C48EDF5" w14:textId="77777777" w:rsidR="00205AE5" w:rsidRPr="00205AE5" w:rsidRDefault="00205AE5" w:rsidP="0056749C">
            <w:pPr>
              <w:pStyle w:val="TabeladesnoUMAR"/>
              <w:rPr>
                <w:lang w:eastAsia="sl-SI"/>
              </w:rPr>
            </w:pPr>
            <w:r w:rsidRPr="00205AE5">
              <w:rPr>
                <w:lang w:eastAsia="sl-SI"/>
              </w:rPr>
              <w:t>79,3</w:t>
            </w:r>
          </w:p>
        </w:tc>
        <w:tc>
          <w:tcPr>
            <w:tcW w:w="439" w:type="pct"/>
            <w:shd w:val="clear" w:color="auto" w:fill="auto"/>
            <w:noWrap/>
            <w:vAlign w:val="bottom"/>
            <w:hideMark/>
          </w:tcPr>
          <w:p w14:paraId="44DDCFFB" w14:textId="77777777" w:rsidR="00205AE5" w:rsidRPr="00205AE5" w:rsidRDefault="00205AE5" w:rsidP="0056749C">
            <w:pPr>
              <w:pStyle w:val="TabeladesnoUMAR"/>
              <w:rPr>
                <w:lang w:eastAsia="sl-SI"/>
              </w:rPr>
            </w:pPr>
            <w:r w:rsidRPr="00205AE5">
              <w:rPr>
                <w:lang w:eastAsia="sl-SI"/>
              </w:rPr>
              <w:t>80,9</w:t>
            </w:r>
          </w:p>
        </w:tc>
        <w:tc>
          <w:tcPr>
            <w:tcW w:w="439" w:type="pct"/>
            <w:shd w:val="clear" w:color="auto" w:fill="auto"/>
            <w:noWrap/>
            <w:vAlign w:val="bottom"/>
            <w:hideMark/>
          </w:tcPr>
          <w:p w14:paraId="0C80B351" w14:textId="77777777" w:rsidR="00205AE5" w:rsidRPr="00205AE5" w:rsidRDefault="00205AE5" w:rsidP="0056749C">
            <w:pPr>
              <w:pStyle w:val="TabeladesnoUMAR"/>
              <w:rPr>
                <w:lang w:eastAsia="sl-SI"/>
              </w:rPr>
            </w:pPr>
            <w:r w:rsidRPr="00205AE5">
              <w:rPr>
                <w:lang w:eastAsia="sl-SI"/>
              </w:rPr>
              <w:t>82,5</w:t>
            </w:r>
          </w:p>
        </w:tc>
        <w:tc>
          <w:tcPr>
            <w:tcW w:w="439" w:type="pct"/>
            <w:shd w:val="clear" w:color="auto" w:fill="auto"/>
            <w:noWrap/>
            <w:vAlign w:val="bottom"/>
            <w:hideMark/>
          </w:tcPr>
          <w:p w14:paraId="406BE9D1" w14:textId="77777777" w:rsidR="00205AE5" w:rsidRPr="00205AE5" w:rsidRDefault="00205AE5" w:rsidP="0056749C">
            <w:pPr>
              <w:pStyle w:val="TabeladesnoUMAR"/>
              <w:rPr>
                <w:lang w:eastAsia="sl-SI"/>
              </w:rPr>
            </w:pPr>
            <w:r w:rsidRPr="00205AE5">
              <w:rPr>
                <w:lang w:eastAsia="sl-SI"/>
              </w:rPr>
              <w:t>84,0</w:t>
            </w:r>
          </w:p>
        </w:tc>
        <w:tc>
          <w:tcPr>
            <w:tcW w:w="439" w:type="pct"/>
            <w:shd w:val="clear" w:color="auto" w:fill="auto"/>
            <w:noWrap/>
            <w:vAlign w:val="bottom"/>
            <w:hideMark/>
          </w:tcPr>
          <w:p w14:paraId="06F5C408" w14:textId="77777777" w:rsidR="00205AE5" w:rsidRPr="00205AE5" w:rsidRDefault="00205AE5" w:rsidP="0056749C">
            <w:pPr>
              <w:pStyle w:val="TabeladesnoUMAR"/>
              <w:rPr>
                <w:lang w:eastAsia="sl-SI"/>
              </w:rPr>
            </w:pPr>
            <w:r w:rsidRPr="00205AE5">
              <w:rPr>
                <w:lang w:eastAsia="sl-SI"/>
              </w:rPr>
              <w:t>85,4</w:t>
            </w:r>
          </w:p>
        </w:tc>
        <w:tc>
          <w:tcPr>
            <w:tcW w:w="439" w:type="pct"/>
            <w:shd w:val="clear" w:color="auto" w:fill="auto"/>
            <w:noWrap/>
            <w:vAlign w:val="bottom"/>
            <w:hideMark/>
          </w:tcPr>
          <w:p w14:paraId="1D6E16DD" w14:textId="77777777" w:rsidR="00205AE5" w:rsidRPr="00205AE5" w:rsidRDefault="00205AE5" w:rsidP="0056749C">
            <w:pPr>
              <w:pStyle w:val="TabeladesnoUMAR"/>
              <w:rPr>
                <w:lang w:eastAsia="sl-SI"/>
              </w:rPr>
            </w:pPr>
            <w:r w:rsidRPr="00205AE5">
              <w:rPr>
                <w:lang w:eastAsia="sl-SI"/>
              </w:rPr>
              <w:t>86,7</w:t>
            </w:r>
          </w:p>
        </w:tc>
        <w:tc>
          <w:tcPr>
            <w:tcW w:w="439" w:type="pct"/>
            <w:shd w:val="clear" w:color="auto" w:fill="auto"/>
            <w:noWrap/>
            <w:vAlign w:val="bottom"/>
            <w:hideMark/>
          </w:tcPr>
          <w:p w14:paraId="236FD95B" w14:textId="77777777" w:rsidR="00205AE5" w:rsidRPr="00205AE5" w:rsidRDefault="00205AE5" w:rsidP="0056749C">
            <w:pPr>
              <w:pStyle w:val="TabeladesnoUMAR"/>
              <w:rPr>
                <w:lang w:eastAsia="sl-SI"/>
              </w:rPr>
            </w:pPr>
            <w:r w:rsidRPr="00205AE5">
              <w:rPr>
                <w:lang w:eastAsia="sl-SI"/>
              </w:rPr>
              <w:t>87,8</w:t>
            </w:r>
          </w:p>
        </w:tc>
        <w:tc>
          <w:tcPr>
            <w:tcW w:w="439" w:type="pct"/>
            <w:shd w:val="clear" w:color="auto" w:fill="auto"/>
            <w:noWrap/>
            <w:vAlign w:val="bottom"/>
            <w:hideMark/>
          </w:tcPr>
          <w:p w14:paraId="14F22CF6" w14:textId="77777777" w:rsidR="00205AE5" w:rsidRPr="00205AE5" w:rsidRDefault="00205AE5" w:rsidP="0056749C">
            <w:pPr>
              <w:pStyle w:val="TabeladesnoUMAR"/>
              <w:rPr>
                <w:lang w:eastAsia="sl-SI"/>
              </w:rPr>
            </w:pPr>
            <w:r w:rsidRPr="00205AE5">
              <w:rPr>
                <w:lang w:eastAsia="sl-SI"/>
              </w:rPr>
              <w:t>88,9</w:t>
            </w:r>
          </w:p>
        </w:tc>
      </w:tr>
      <w:tr w:rsidR="00692C1B" w:rsidRPr="00205AE5" w14:paraId="12DDE270" w14:textId="77777777" w:rsidTr="00BB5BF2">
        <w:trPr>
          <w:trHeight w:val="264"/>
        </w:trPr>
        <w:tc>
          <w:tcPr>
            <w:tcW w:w="1486" w:type="pct"/>
            <w:shd w:val="clear" w:color="auto" w:fill="auto"/>
            <w:noWrap/>
            <w:vAlign w:val="bottom"/>
            <w:hideMark/>
          </w:tcPr>
          <w:p w14:paraId="698DBC5C" w14:textId="0960F250" w:rsidR="00205AE5" w:rsidRPr="00205AE5" w:rsidRDefault="00FC0BB3" w:rsidP="0056749C">
            <w:pPr>
              <w:pStyle w:val="TabelalevoUMAR"/>
              <w:rPr>
                <w:rFonts w:cs="Arial"/>
                <w:color w:val="000000"/>
                <w:lang w:eastAsia="sl-SI"/>
              </w:rPr>
            </w:pPr>
            <w:r w:rsidRPr="00205AE5">
              <w:rPr>
                <w:rFonts w:cs="Arial"/>
                <w:color w:val="000000"/>
                <w:lang w:eastAsia="sl-SI"/>
              </w:rPr>
              <w:t>P</w:t>
            </w:r>
            <w:r>
              <w:rPr>
                <w:rFonts w:cs="Arial"/>
                <w:color w:val="000000"/>
                <w:lang w:eastAsia="sl-SI"/>
              </w:rPr>
              <w:t>ričakovano trajanje življen</w:t>
            </w:r>
            <w:r w:rsidR="00692C1B">
              <w:rPr>
                <w:rFonts w:cs="Arial"/>
                <w:color w:val="000000"/>
                <w:lang w:eastAsia="sl-SI"/>
              </w:rPr>
              <w:t>j</w:t>
            </w:r>
            <w:r>
              <w:rPr>
                <w:rFonts w:cs="Arial"/>
                <w:color w:val="000000"/>
                <w:lang w:eastAsia="sl-SI"/>
              </w:rPr>
              <w:t>a</w:t>
            </w:r>
            <w:r w:rsidRPr="00205AE5">
              <w:rPr>
                <w:rFonts w:cs="Arial"/>
                <w:color w:val="000000"/>
                <w:lang w:eastAsia="sl-SI"/>
              </w:rPr>
              <w:t xml:space="preserve"> </w:t>
            </w:r>
            <w:r w:rsidR="00BB5BF2">
              <w:rPr>
                <w:rFonts w:cs="Arial"/>
                <w:color w:val="000000"/>
                <w:lang w:eastAsia="sl-SI"/>
              </w:rPr>
              <w:br/>
            </w:r>
            <w:r w:rsidRPr="00205AE5">
              <w:rPr>
                <w:rFonts w:cs="Arial"/>
                <w:color w:val="000000"/>
                <w:lang w:eastAsia="sl-SI"/>
              </w:rPr>
              <w:t xml:space="preserve">ob rojstvu </w:t>
            </w:r>
            <w:r>
              <w:rPr>
                <w:rFonts w:cs="Arial"/>
                <w:color w:val="000000"/>
                <w:lang w:eastAsia="sl-SI"/>
              </w:rPr>
              <w:t xml:space="preserve">– </w:t>
            </w:r>
            <w:r w:rsidR="00205AE5" w:rsidRPr="00205AE5">
              <w:rPr>
                <w:rFonts w:cs="Arial"/>
                <w:color w:val="000000"/>
                <w:lang w:eastAsia="sl-SI"/>
              </w:rPr>
              <w:t>Ž</w:t>
            </w:r>
          </w:p>
        </w:tc>
        <w:tc>
          <w:tcPr>
            <w:tcW w:w="439" w:type="pct"/>
            <w:shd w:val="clear" w:color="auto" w:fill="auto"/>
            <w:noWrap/>
            <w:vAlign w:val="bottom"/>
            <w:hideMark/>
          </w:tcPr>
          <w:p w14:paraId="7D801120" w14:textId="77777777" w:rsidR="00205AE5" w:rsidRPr="00205AE5" w:rsidRDefault="00205AE5" w:rsidP="0056749C">
            <w:pPr>
              <w:pStyle w:val="TabeladesnoUMAR"/>
              <w:rPr>
                <w:lang w:eastAsia="sl-SI"/>
              </w:rPr>
            </w:pPr>
            <w:r w:rsidRPr="00205AE5">
              <w:rPr>
                <w:lang w:eastAsia="sl-SI"/>
              </w:rPr>
              <w:t>85,1</w:t>
            </w:r>
          </w:p>
        </w:tc>
        <w:tc>
          <w:tcPr>
            <w:tcW w:w="439" w:type="pct"/>
            <w:shd w:val="clear" w:color="auto" w:fill="auto"/>
            <w:noWrap/>
            <w:vAlign w:val="bottom"/>
            <w:hideMark/>
          </w:tcPr>
          <w:p w14:paraId="351DF48F" w14:textId="77777777" w:rsidR="00205AE5" w:rsidRPr="00205AE5" w:rsidRDefault="00205AE5" w:rsidP="0056749C">
            <w:pPr>
              <w:pStyle w:val="TabeladesnoUMAR"/>
              <w:rPr>
                <w:lang w:eastAsia="sl-SI"/>
              </w:rPr>
            </w:pPr>
            <w:r w:rsidRPr="00205AE5">
              <w:rPr>
                <w:lang w:eastAsia="sl-SI"/>
              </w:rPr>
              <w:t>86,4</w:t>
            </w:r>
          </w:p>
        </w:tc>
        <w:tc>
          <w:tcPr>
            <w:tcW w:w="439" w:type="pct"/>
            <w:shd w:val="clear" w:color="auto" w:fill="auto"/>
            <w:noWrap/>
            <w:vAlign w:val="bottom"/>
            <w:hideMark/>
          </w:tcPr>
          <w:p w14:paraId="593BD635" w14:textId="77777777" w:rsidR="00205AE5" w:rsidRPr="00205AE5" w:rsidRDefault="00205AE5" w:rsidP="0056749C">
            <w:pPr>
              <w:pStyle w:val="TabeladesnoUMAR"/>
              <w:rPr>
                <w:lang w:eastAsia="sl-SI"/>
              </w:rPr>
            </w:pPr>
            <w:r w:rsidRPr="00205AE5">
              <w:rPr>
                <w:lang w:eastAsia="sl-SI"/>
              </w:rPr>
              <w:t>87,7</w:t>
            </w:r>
          </w:p>
        </w:tc>
        <w:tc>
          <w:tcPr>
            <w:tcW w:w="439" w:type="pct"/>
            <w:shd w:val="clear" w:color="auto" w:fill="auto"/>
            <w:noWrap/>
            <w:vAlign w:val="bottom"/>
            <w:hideMark/>
          </w:tcPr>
          <w:p w14:paraId="67959B4C" w14:textId="77777777" w:rsidR="00205AE5" w:rsidRPr="00205AE5" w:rsidRDefault="00205AE5" w:rsidP="0056749C">
            <w:pPr>
              <w:pStyle w:val="TabeladesnoUMAR"/>
              <w:rPr>
                <w:lang w:eastAsia="sl-SI"/>
              </w:rPr>
            </w:pPr>
            <w:r w:rsidRPr="00205AE5">
              <w:rPr>
                <w:lang w:eastAsia="sl-SI"/>
              </w:rPr>
              <w:t>88,9</w:t>
            </w:r>
          </w:p>
        </w:tc>
        <w:tc>
          <w:tcPr>
            <w:tcW w:w="439" w:type="pct"/>
            <w:shd w:val="clear" w:color="auto" w:fill="auto"/>
            <w:noWrap/>
            <w:vAlign w:val="bottom"/>
            <w:hideMark/>
          </w:tcPr>
          <w:p w14:paraId="7173AFF6" w14:textId="77777777" w:rsidR="00205AE5" w:rsidRPr="00205AE5" w:rsidRDefault="00205AE5" w:rsidP="0056749C">
            <w:pPr>
              <w:pStyle w:val="TabeladesnoUMAR"/>
              <w:rPr>
                <w:lang w:eastAsia="sl-SI"/>
              </w:rPr>
            </w:pPr>
            <w:r w:rsidRPr="00205AE5">
              <w:rPr>
                <w:lang w:eastAsia="sl-SI"/>
              </w:rPr>
              <w:t>90,0</w:t>
            </w:r>
          </w:p>
        </w:tc>
        <w:tc>
          <w:tcPr>
            <w:tcW w:w="439" w:type="pct"/>
            <w:shd w:val="clear" w:color="auto" w:fill="auto"/>
            <w:noWrap/>
            <w:vAlign w:val="bottom"/>
            <w:hideMark/>
          </w:tcPr>
          <w:p w14:paraId="7E326C25" w14:textId="77777777" w:rsidR="00205AE5" w:rsidRPr="00205AE5" w:rsidRDefault="00205AE5" w:rsidP="0056749C">
            <w:pPr>
              <w:pStyle w:val="TabeladesnoUMAR"/>
              <w:rPr>
                <w:lang w:eastAsia="sl-SI"/>
              </w:rPr>
            </w:pPr>
            <w:r w:rsidRPr="00205AE5">
              <w:rPr>
                <w:lang w:eastAsia="sl-SI"/>
              </w:rPr>
              <w:t>91,1</w:t>
            </w:r>
          </w:p>
        </w:tc>
        <w:tc>
          <w:tcPr>
            <w:tcW w:w="439" w:type="pct"/>
            <w:shd w:val="clear" w:color="auto" w:fill="auto"/>
            <w:noWrap/>
            <w:vAlign w:val="bottom"/>
            <w:hideMark/>
          </w:tcPr>
          <w:p w14:paraId="6F6BCA57" w14:textId="77777777" w:rsidR="00205AE5" w:rsidRPr="00205AE5" w:rsidRDefault="00205AE5" w:rsidP="0056749C">
            <w:pPr>
              <w:pStyle w:val="TabeladesnoUMAR"/>
              <w:rPr>
                <w:lang w:eastAsia="sl-SI"/>
              </w:rPr>
            </w:pPr>
            <w:r w:rsidRPr="00205AE5">
              <w:rPr>
                <w:lang w:eastAsia="sl-SI"/>
              </w:rPr>
              <w:t>92,0</w:t>
            </w:r>
          </w:p>
        </w:tc>
        <w:tc>
          <w:tcPr>
            <w:tcW w:w="439" w:type="pct"/>
            <w:shd w:val="clear" w:color="auto" w:fill="auto"/>
            <w:noWrap/>
            <w:vAlign w:val="bottom"/>
            <w:hideMark/>
          </w:tcPr>
          <w:p w14:paraId="153E5209" w14:textId="77777777" w:rsidR="00205AE5" w:rsidRPr="00205AE5" w:rsidRDefault="00205AE5" w:rsidP="0056749C">
            <w:pPr>
              <w:pStyle w:val="TabeladesnoUMAR"/>
              <w:rPr>
                <w:lang w:eastAsia="sl-SI"/>
              </w:rPr>
            </w:pPr>
            <w:r w:rsidRPr="00205AE5">
              <w:rPr>
                <w:lang w:eastAsia="sl-SI"/>
              </w:rPr>
              <w:t>92,9</w:t>
            </w:r>
          </w:p>
        </w:tc>
      </w:tr>
      <w:tr w:rsidR="00692C1B" w:rsidRPr="00205AE5" w14:paraId="6933E347" w14:textId="77777777" w:rsidTr="00BB5BF2">
        <w:trPr>
          <w:trHeight w:val="264"/>
        </w:trPr>
        <w:tc>
          <w:tcPr>
            <w:tcW w:w="1486" w:type="pct"/>
            <w:shd w:val="clear" w:color="auto" w:fill="auto"/>
            <w:noWrap/>
            <w:vAlign w:val="bottom"/>
            <w:hideMark/>
          </w:tcPr>
          <w:p w14:paraId="65449AE2" w14:textId="0293D860" w:rsidR="00205AE5" w:rsidRPr="00205AE5" w:rsidRDefault="00205AE5" w:rsidP="0056749C">
            <w:pPr>
              <w:pStyle w:val="TabelalevoUMAR"/>
              <w:rPr>
                <w:rFonts w:cs="Arial"/>
                <w:color w:val="000000"/>
                <w:lang w:eastAsia="sl-SI"/>
              </w:rPr>
            </w:pPr>
            <w:r w:rsidRPr="00205AE5">
              <w:rPr>
                <w:rFonts w:cs="Arial"/>
                <w:color w:val="000000"/>
                <w:lang w:eastAsia="sl-SI"/>
              </w:rPr>
              <w:t>Št</w:t>
            </w:r>
            <w:r w:rsidR="00FC0BB3">
              <w:rPr>
                <w:rFonts w:cs="Arial"/>
                <w:color w:val="000000"/>
                <w:lang w:eastAsia="sl-SI"/>
              </w:rPr>
              <w:t xml:space="preserve">evilo </w:t>
            </w:r>
            <w:r w:rsidRPr="00205AE5">
              <w:rPr>
                <w:rFonts w:cs="Arial"/>
                <w:color w:val="000000"/>
                <w:lang w:eastAsia="sl-SI"/>
              </w:rPr>
              <w:t>rojenih</w:t>
            </w:r>
          </w:p>
        </w:tc>
        <w:tc>
          <w:tcPr>
            <w:tcW w:w="439" w:type="pct"/>
            <w:shd w:val="clear" w:color="auto" w:fill="auto"/>
            <w:noWrap/>
            <w:vAlign w:val="bottom"/>
            <w:hideMark/>
          </w:tcPr>
          <w:p w14:paraId="13F6B2C9" w14:textId="77777777" w:rsidR="00205AE5" w:rsidRPr="00205AE5" w:rsidRDefault="00205AE5" w:rsidP="0056749C">
            <w:pPr>
              <w:pStyle w:val="TabeladesnoUMAR"/>
              <w:rPr>
                <w:lang w:eastAsia="sl-SI"/>
              </w:rPr>
            </w:pPr>
            <w:r w:rsidRPr="00205AE5">
              <w:rPr>
                <w:lang w:eastAsia="sl-SI"/>
              </w:rPr>
              <w:t>17.078</w:t>
            </w:r>
          </w:p>
        </w:tc>
        <w:tc>
          <w:tcPr>
            <w:tcW w:w="439" w:type="pct"/>
            <w:shd w:val="clear" w:color="auto" w:fill="auto"/>
            <w:noWrap/>
            <w:vAlign w:val="bottom"/>
            <w:hideMark/>
          </w:tcPr>
          <w:p w14:paraId="7A3584F5" w14:textId="77777777" w:rsidR="00205AE5" w:rsidRPr="00205AE5" w:rsidRDefault="00205AE5" w:rsidP="0056749C">
            <w:pPr>
              <w:pStyle w:val="TabeladesnoUMAR"/>
              <w:rPr>
                <w:lang w:eastAsia="sl-SI"/>
              </w:rPr>
            </w:pPr>
            <w:r w:rsidRPr="00205AE5">
              <w:rPr>
                <w:lang w:eastAsia="sl-SI"/>
              </w:rPr>
              <w:t>17.604</w:t>
            </w:r>
          </w:p>
        </w:tc>
        <w:tc>
          <w:tcPr>
            <w:tcW w:w="439" w:type="pct"/>
            <w:shd w:val="clear" w:color="auto" w:fill="auto"/>
            <w:noWrap/>
            <w:vAlign w:val="bottom"/>
            <w:hideMark/>
          </w:tcPr>
          <w:p w14:paraId="723AB731" w14:textId="77777777" w:rsidR="00205AE5" w:rsidRPr="00205AE5" w:rsidRDefault="00205AE5" w:rsidP="0056749C">
            <w:pPr>
              <w:pStyle w:val="TabeladesnoUMAR"/>
              <w:rPr>
                <w:lang w:eastAsia="sl-SI"/>
              </w:rPr>
            </w:pPr>
            <w:r w:rsidRPr="00205AE5">
              <w:rPr>
                <w:lang w:eastAsia="sl-SI"/>
              </w:rPr>
              <w:t>18.446</w:t>
            </w:r>
          </w:p>
        </w:tc>
        <w:tc>
          <w:tcPr>
            <w:tcW w:w="439" w:type="pct"/>
            <w:shd w:val="clear" w:color="auto" w:fill="auto"/>
            <w:noWrap/>
            <w:vAlign w:val="bottom"/>
            <w:hideMark/>
          </w:tcPr>
          <w:p w14:paraId="5192CD4F" w14:textId="77777777" w:rsidR="00205AE5" w:rsidRPr="00205AE5" w:rsidRDefault="00205AE5" w:rsidP="0056749C">
            <w:pPr>
              <w:pStyle w:val="TabeladesnoUMAR"/>
              <w:rPr>
                <w:lang w:eastAsia="sl-SI"/>
              </w:rPr>
            </w:pPr>
            <w:r w:rsidRPr="00205AE5">
              <w:rPr>
                <w:lang w:eastAsia="sl-SI"/>
              </w:rPr>
              <w:t>16.841</w:t>
            </w:r>
          </w:p>
        </w:tc>
        <w:tc>
          <w:tcPr>
            <w:tcW w:w="439" w:type="pct"/>
            <w:shd w:val="clear" w:color="auto" w:fill="auto"/>
            <w:noWrap/>
            <w:vAlign w:val="bottom"/>
            <w:hideMark/>
          </w:tcPr>
          <w:p w14:paraId="07DB28F1" w14:textId="77777777" w:rsidR="00205AE5" w:rsidRPr="00205AE5" w:rsidRDefault="00205AE5" w:rsidP="0056749C">
            <w:pPr>
              <w:pStyle w:val="TabeladesnoUMAR"/>
              <w:rPr>
                <w:lang w:eastAsia="sl-SI"/>
              </w:rPr>
            </w:pPr>
            <w:r w:rsidRPr="00205AE5">
              <w:rPr>
                <w:lang w:eastAsia="sl-SI"/>
              </w:rPr>
              <w:t>16.705</w:t>
            </w:r>
          </w:p>
        </w:tc>
        <w:tc>
          <w:tcPr>
            <w:tcW w:w="439" w:type="pct"/>
            <w:shd w:val="clear" w:color="auto" w:fill="auto"/>
            <w:noWrap/>
            <w:vAlign w:val="bottom"/>
            <w:hideMark/>
          </w:tcPr>
          <w:p w14:paraId="7DBE65D6" w14:textId="77777777" w:rsidR="00205AE5" w:rsidRPr="00205AE5" w:rsidRDefault="00205AE5" w:rsidP="0056749C">
            <w:pPr>
              <w:pStyle w:val="TabeladesnoUMAR"/>
              <w:rPr>
                <w:lang w:eastAsia="sl-SI"/>
              </w:rPr>
            </w:pPr>
            <w:r w:rsidRPr="00205AE5">
              <w:rPr>
                <w:lang w:eastAsia="sl-SI"/>
              </w:rPr>
              <w:t>17.232</w:t>
            </w:r>
          </w:p>
        </w:tc>
        <w:tc>
          <w:tcPr>
            <w:tcW w:w="439" w:type="pct"/>
            <w:shd w:val="clear" w:color="auto" w:fill="auto"/>
            <w:noWrap/>
            <w:vAlign w:val="bottom"/>
            <w:hideMark/>
          </w:tcPr>
          <w:p w14:paraId="0C55BD1B" w14:textId="77777777" w:rsidR="00205AE5" w:rsidRPr="00205AE5" w:rsidRDefault="00205AE5" w:rsidP="0056749C">
            <w:pPr>
              <w:pStyle w:val="TabeladesnoUMAR"/>
              <w:rPr>
                <w:lang w:eastAsia="sl-SI"/>
              </w:rPr>
            </w:pPr>
            <w:r w:rsidRPr="00205AE5">
              <w:rPr>
                <w:lang w:eastAsia="sl-SI"/>
              </w:rPr>
              <w:t>16.594</w:t>
            </w:r>
          </w:p>
        </w:tc>
        <w:tc>
          <w:tcPr>
            <w:tcW w:w="439" w:type="pct"/>
            <w:shd w:val="clear" w:color="auto" w:fill="auto"/>
            <w:noWrap/>
            <w:vAlign w:val="bottom"/>
            <w:hideMark/>
          </w:tcPr>
          <w:p w14:paraId="504459BF" w14:textId="77777777" w:rsidR="00205AE5" w:rsidRPr="00205AE5" w:rsidRDefault="00205AE5" w:rsidP="0056749C">
            <w:pPr>
              <w:pStyle w:val="TabeladesnoUMAR"/>
              <w:rPr>
                <w:lang w:eastAsia="sl-SI"/>
              </w:rPr>
            </w:pPr>
            <w:r w:rsidRPr="00205AE5">
              <w:rPr>
                <w:lang w:eastAsia="sl-SI"/>
              </w:rPr>
              <w:t>16.375</w:t>
            </w:r>
          </w:p>
        </w:tc>
      </w:tr>
      <w:tr w:rsidR="00692C1B" w:rsidRPr="00205AE5" w14:paraId="029E4C81" w14:textId="77777777" w:rsidTr="00BB5BF2">
        <w:trPr>
          <w:trHeight w:val="264"/>
        </w:trPr>
        <w:tc>
          <w:tcPr>
            <w:tcW w:w="1486" w:type="pct"/>
            <w:shd w:val="clear" w:color="auto" w:fill="auto"/>
            <w:noWrap/>
            <w:vAlign w:val="bottom"/>
            <w:hideMark/>
          </w:tcPr>
          <w:p w14:paraId="06A31468" w14:textId="1B4BC9BD" w:rsidR="00205AE5" w:rsidRPr="00205AE5" w:rsidRDefault="00205AE5" w:rsidP="0056749C">
            <w:pPr>
              <w:pStyle w:val="TabelalevoUMAR"/>
              <w:rPr>
                <w:rFonts w:cs="Arial"/>
                <w:color w:val="000000"/>
                <w:lang w:eastAsia="sl-SI"/>
              </w:rPr>
            </w:pPr>
            <w:r w:rsidRPr="00205AE5">
              <w:rPr>
                <w:rFonts w:cs="Arial"/>
                <w:color w:val="000000"/>
                <w:lang w:eastAsia="sl-SI"/>
              </w:rPr>
              <w:t>Št</w:t>
            </w:r>
            <w:r w:rsidR="00FC0BB3">
              <w:rPr>
                <w:rFonts w:cs="Arial"/>
                <w:color w:val="000000"/>
                <w:lang w:eastAsia="sl-SI"/>
              </w:rPr>
              <w:t>evilo</w:t>
            </w:r>
            <w:r w:rsidRPr="00205AE5">
              <w:rPr>
                <w:rFonts w:cs="Arial"/>
                <w:color w:val="000000"/>
                <w:lang w:eastAsia="sl-SI"/>
              </w:rPr>
              <w:t xml:space="preserve"> umrlih</w:t>
            </w:r>
          </w:p>
        </w:tc>
        <w:tc>
          <w:tcPr>
            <w:tcW w:w="439" w:type="pct"/>
            <w:shd w:val="clear" w:color="auto" w:fill="auto"/>
            <w:noWrap/>
            <w:vAlign w:val="bottom"/>
            <w:hideMark/>
          </w:tcPr>
          <w:p w14:paraId="395285B1" w14:textId="77777777" w:rsidR="00205AE5" w:rsidRPr="00205AE5" w:rsidRDefault="00205AE5" w:rsidP="0056749C">
            <w:pPr>
              <w:pStyle w:val="TabeladesnoUMAR"/>
              <w:rPr>
                <w:lang w:eastAsia="sl-SI"/>
              </w:rPr>
            </w:pPr>
            <w:r w:rsidRPr="00205AE5">
              <w:rPr>
                <w:lang w:eastAsia="sl-SI"/>
              </w:rPr>
              <w:t>23.019</w:t>
            </w:r>
          </w:p>
        </w:tc>
        <w:tc>
          <w:tcPr>
            <w:tcW w:w="439" w:type="pct"/>
            <w:shd w:val="clear" w:color="auto" w:fill="auto"/>
            <w:noWrap/>
            <w:vAlign w:val="bottom"/>
            <w:hideMark/>
          </w:tcPr>
          <w:p w14:paraId="2DDF9BB6" w14:textId="77777777" w:rsidR="00205AE5" w:rsidRPr="00205AE5" w:rsidRDefault="00205AE5" w:rsidP="0056749C">
            <w:pPr>
              <w:pStyle w:val="TabeladesnoUMAR"/>
              <w:rPr>
                <w:lang w:eastAsia="sl-SI"/>
              </w:rPr>
            </w:pPr>
            <w:r w:rsidRPr="00205AE5">
              <w:rPr>
                <w:lang w:eastAsia="sl-SI"/>
              </w:rPr>
              <w:t>24.909</w:t>
            </w:r>
          </w:p>
        </w:tc>
        <w:tc>
          <w:tcPr>
            <w:tcW w:w="439" w:type="pct"/>
            <w:shd w:val="clear" w:color="auto" w:fill="auto"/>
            <w:noWrap/>
            <w:vAlign w:val="bottom"/>
            <w:hideMark/>
          </w:tcPr>
          <w:p w14:paraId="766568BC" w14:textId="77777777" w:rsidR="00205AE5" w:rsidRPr="00205AE5" w:rsidRDefault="00205AE5" w:rsidP="0056749C">
            <w:pPr>
              <w:pStyle w:val="TabeladesnoUMAR"/>
              <w:rPr>
                <w:lang w:eastAsia="sl-SI"/>
              </w:rPr>
            </w:pPr>
            <w:r w:rsidRPr="00205AE5">
              <w:rPr>
                <w:lang w:eastAsia="sl-SI"/>
              </w:rPr>
              <w:t>26.961</w:t>
            </w:r>
          </w:p>
        </w:tc>
        <w:tc>
          <w:tcPr>
            <w:tcW w:w="439" w:type="pct"/>
            <w:shd w:val="clear" w:color="auto" w:fill="auto"/>
            <w:noWrap/>
            <w:vAlign w:val="bottom"/>
            <w:hideMark/>
          </w:tcPr>
          <w:p w14:paraId="2B6FE969" w14:textId="77777777" w:rsidR="00205AE5" w:rsidRPr="00205AE5" w:rsidRDefault="00205AE5" w:rsidP="0056749C">
            <w:pPr>
              <w:pStyle w:val="TabeladesnoUMAR"/>
              <w:rPr>
                <w:lang w:eastAsia="sl-SI"/>
              </w:rPr>
            </w:pPr>
            <w:r w:rsidRPr="00205AE5">
              <w:rPr>
                <w:lang w:eastAsia="sl-SI"/>
              </w:rPr>
              <w:t>27.413</w:t>
            </w:r>
          </w:p>
        </w:tc>
        <w:tc>
          <w:tcPr>
            <w:tcW w:w="439" w:type="pct"/>
            <w:shd w:val="clear" w:color="auto" w:fill="auto"/>
            <w:noWrap/>
            <w:vAlign w:val="bottom"/>
            <w:hideMark/>
          </w:tcPr>
          <w:p w14:paraId="7F5A3762" w14:textId="77777777" w:rsidR="00205AE5" w:rsidRPr="00205AE5" w:rsidRDefault="00205AE5" w:rsidP="0056749C">
            <w:pPr>
              <w:pStyle w:val="TabeladesnoUMAR"/>
              <w:rPr>
                <w:lang w:eastAsia="sl-SI"/>
              </w:rPr>
            </w:pPr>
            <w:r w:rsidRPr="00205AE5">
              <w:rPr>
                <w:lang w:eastAsia="sl-SI"/>
              </w:rPr>
              <w:t>27.220</w:t>
            </w:r>
          </w:p>
        </w:tc>
        <w:tc>
          <w:tcPr>
            <w:tcW w:w="439" w:type="pct"/>
            <w:shd w:val="clear" w:color="auto" w:fill="auto"/>
            <w:noWrap/>
            <w:vAlign w:val="bottom"/>
            <w:hideMark/>
          </w:tcPr>
          <w:p w14:paraId="430BAD6D" w14:textId="77777777" w:rsidR="00205AE5" w:rsidRPr="00205AE5" w:rsidRDefault="00205AE5" w:rsidP="0056749C">
            <w:pPr>
              <w:pStyle w:val="TabeladesnoUMAR"/>
              <w:rPr>
                <w:lang w:eastAsia="sl-SI"/>
              </w:rPr>
            </w:pPr>
            <w:r w:rsidRPr="00205AE5">
              <w:rPr>
                <w:lang w:eastAsia="sl-SI"/>
              </w:rPr>
              <w:t>26.135</w:t>
            </w:r>
          </w:p>
        </w:tc>
        <w:tc>
          <w:tcPr>
            <w:tcW w:w="439" w:type="pct"/>
            <w:shd w:val="clear" w:color="auto" w:fill="auto"/>
            <w:noWrap/>
            <w:vAlign w:val="bottom"/>
            <w:hideMark/>
          </w:tcPr>
          <w:p w14:paraId="32090E22" w14:textId="77777777" w:rsidR="00205AE5" w:rsidRPr="00205AE5" w:rsidRDefault="00205AE5" w:rsidP="0056749C">
            <w:pPr>
              <w:pStyle w:val="TabeladesnoUMAR"/>
              <w:rPr>
                <w:lang w:eastAsia="sl-SI"/>
              </w:rPr>
            </w:pPr>
            <w:r w:rsidRPr="00205AE5">
              <w:rPr>
                <w:lang w:eastAsia="sl-SI"/>
              </w:rPr>
              <w:t>23.737</w:t>
            </w:r>
          </w:p>
        </w:tc>
        <w:tc>
          <w:tcPr>
            <w:tcW w:w="439" w:type="pct"/>
            <w:shd w:val="clear" w:color="auto" w:fill="auto"/>
            <w:noWrap/>
            <w:vAlign w:val="bottom"/>
            <w:hideMark/>
          </w:tcPr>
          <w:p w14:paraId="206FF888" w14:textId="77777777" w:rsidR="00205AE5" w:rsidRPr="00205AE5" w:rsidRDefault="00205AE5" w:rsidP="0056749C">
            <w:pPr>
              <w:pStyle w:val="TabeladesnoUMAR"/>
              <w:rPr>
                <w:lang w:eastAsia="sl-SI"/>
              </w:rPr>
            </w:pPr>
            <w:r w:rsidRPr="00205AE5">
              <w:rPr>
                <w:lang w:eastAsia="sl-SI"/>
              </w:rPr>
              <w:t>22.936</w:t>
            </w:r>
          </w:p>
        </w:tc>
      </w:tr>
      <w:tr w:rsidR="00692C1B" w:rsidRPr="00205AE5" w14:paraId="7157F1FE" w14:textId="77777777" w:rsidTr="00BB5BF2">
        <w:trPr>
          <w:trHeight w:val="264"/>
        </w:trPr>
        <w:tc>
          <w:tcPr>
            <w:tcW w:w="1486" w:type="pct"/>
            <w:shd w:val="clear" w:color="auto" w:fill="auto"/>
            <w:noWrap/>
            <w:vAlign w:val="bottom"/>
            <w:hideMark/>
          </w:tcPr>
          <w:p w14:paraId="0DE9B534" w14:textId="31CA57B9" w:rsidR="00205AE5" w:rsidRPr="00205AE5" w:rsidRDefault="00205AE5" w:rsidP="0056749C">
            <w:pPr>
              <w:pStyle w:val="TabelalevoUMAR"/>
              <w:rPr>
                <w:rFonts w:cs="Arial"/>
                <w:color w:val="000000"/>
                <w:lang w:eastAsia="sl-SI"/>
              </w:rPr>
            </w:pPr>
            <w:r w:rsidRPr="00205AE5">
              <w:rPr>
                <w:rFonts w:cs="Arial"/>
                <w:color w:val="000000"/>
                <w:lang w:eastAsia="sl-SI"/>
              </w:rPr>
              <w:t xml:space="preserve">Neto selitveni </w:t>
            </w:r>
            <w:r w:rsidR="007D698B" w:rsidRPr="00205AE5">
              <w:rPr>
                <w:rFonts w:cs="Arial"/>
                <w:color w:val="000000"/>
                <w:lang w:eastAsia="sl-SI"/>
              </w:rPr>
              <w:t>prirast</w:t>
            </w:r>
          </w:p>
        </w:tc>
        <w:tc>
          <w:tcPr>
            <w:tcW w:w="439" w:type="pct"/>
            <w:shd w:val="clear" w:color="auto" w:fill="auto"/>
            <w:noWrap/>
            <w:vAlign w:val="bottom"/>
            <w:hideMark/>
          </w:tcPr>
          <w:p w14:paraId="59D9322E" w14:textId="77777777" w:rsidR="00205AE5" w:rsidRPr="00205AE5" w:rsidRDefault="00205AE5" w:rsidP="0056749C">
            <w:pPr>
              <w:pStyle w:val="TabeladesnoUMAR"/>
              <w:rPr>
                <w:lang w:eastAsia="sl-SI"/>
              </w:rPr>
            </w:pPr>
            <w:r w:rsidRPr="00205AE5">
              <w:rPr>
                <w:lang w:eastAsia="sl-SI"/>
              </w:rPr>
              <w:t>7.132</w:t>
            </w:r>
          </w:p>
        </w:tc>
        <w:tc>
          <w:tcPr>
            <w:tcW w:w="439" w:type="pct"/>
            <w:shd w:val="clear" w:color="auto" w:fill="auto"/>
            <w:noWrap/>
            <w:vAlign w:val="bottom"/>
            <w:hideMark/>
          </w:tcPr>
          <w:p w14:paraId="7C66F895" w14:textId="77777777" w:rsidR="00205AE5" w:rsidRPr="00205AE5" w:rsidRDefault="00205AE5" w:rsidP="0056749C">
            <w:pPr>
              <w:pStyle w:val="TabeladesnoUMAR"/>
              <w:rPr>
                <w:lang w:eastAsia="sl-SI"/>
              </w:rPr>
            </w:pPr>
            <w:r w:rsidRPr="00205AE5">
              <w:rPr>
                <w:lang w:eastAsia="sl-SI"/>
              </w:rPr>
              <w:t>6.430</w:t>
            </w:r>
          </w:p>
        </w:tc>
        <w:tc>
          <w:tcPr>
            <w:tcW w:w="439" w:type="pct"/>
            <w:shd w:val="clear" w:color="auto" w:fill="auto"/>
            <w:noWrap/>
            <w:vAlign w:val="bottom"/>
            <w:hideMark/>
          </w:tcPr>
          <w:p w14:paraId="155B5F39" w14:textId="77777777" w:rsidR="00205AE5" w:rsidRPr="00205AE5" w:rsidRDefault="00205AE5" w:rsidP="0056749C">
            <w:pPr>
              <w:pStyle w:val="TabeladesnoUMAR"/>
              <w:rPr>
                <w:lang w:eastAsia="sl-SI"/>
              </w:rPr>
            </w:pPr>
            <w:r w:rsidRPr="00205AE5">
              <w:rPr>
                <w:lang w:eastAsia="sl-SI"/>
              </w:rPr>
              <w:t>6.676</w:t>
            </w:r>
          </w:p>
        </w:tc>
        <w:tc>
          <w:tcPr>
            <w:tcW w:w="439" w:type="pct"/>
            <w:shd w:val="clear" w:color="auto" w:fill="auto"/>
            <w:noWrap/>
            <w:vAlign w:val="bottom"/>
            <w:hideMark/>
          </w:tcPr>
          <w:p w14:paraId="6D60C12E" w14:textId="77777777" w:rsidR="00205AE5" w:rsidRPr="00205AE5" w:rsidRDefault="00205AE5" w:rsidP="0056749C">
            <w:pPr>
              <w:pStyle w:val="TabeladesnoUMAR"/>
              <w:rPr>
                <w:lang w:eastAsia="sl-SI"/>
              </w:rPr>
            </w:pPr>
            <w:r w:rsidRPr="00205AE5">
              <w:rPr>
                <w:lang w:eastAsia="sl-SI"/>
              </w:rPr>
              <w:t>5.960</w:t>
            </w:r>
          </w:p>
        </w:tc>
        <w:tc>
          <w:tcPr>
            <w:tcW w:w="439" w:type="pct"/>
            <w:shd w:val="clear" w:color="auto" w:fill="auto"/>
            <w:noWrap/>
            <w:vAlign w:val="bottom"/>
            <w:hideMark/>
          </w:tcPr>
          <w:p w14:paraId="33DFF9BF" w14:textId="77777777" w:rsidR="00205AE5" w:rsidRPr="00205AE5" w:rsidRDefault="00205AE5" w:rsidP="0056749C">
            <w:pPr>
              <w:pStyle w:val="TabeladesnoUMAR"/>
              <w:rPr>
                <w:lang w:eastAsia="sl-SI"/>
              </w:rPr>
            </w:pPr>
            <w:r w:rsidRPr="00205AE5">
              <w:rPr>
                <w:lang w:eastAsia="sl-SI"/>
              </w:rPr>
              <w:t>5.869</w:t>
            </w:r>
          </w:p>
        </w:tc>
        <w:tc>
          <w:tcPr>
            <w:tcW w:w="439" w:type="pct"/>
            <w:shd w:val="clear" w:color="auto" w:fill="auto"/>
            <w:noWrap/>
            <w:vAlign w:val="bottom"/>
            <w:hideMark/>
          </w:tcPr>
          <w:p w14:paraId="327CEDED" w14:textId="77777777" w:rsidR="00205AE5" w:rsidRPr="00205AE5" w:rsidRDefault="00205AE5" w:rsidP="0056749C">
            <w:pPr>
              <w:pStyle w:val="TabeladesnoUMAR"/>
              <w:rPr>
                <w:lang w:eastAsia="sl-SI"/>
              </w:rPr>
            </w:pPr>
            <w:r w:rsidRPr="00205AE5">
              <w:rPr>
                <w:lang w:eastAsia="sl-SI"/>
              </w:rPr>
              <w:t>6.299</w:t>
            </w:r>
          </w:p>
        </w:tc>
        <w:tc>
          <w:tcPr>
            <w:tcW w:w="439" w:type="pct"/>
            <w:shd w:val="clear" w:color="auto" w:fill="auto"/>
            <w:noWrap/>
            <w:vAlign w:val="bottom"/>
            <w:hideMark/>
          </w:tcPr>
          <w:p w14:paraId="7DC07942" w14:textId="77777777" w:rsidR="00205AE5" w:rsidRPr="00205AE5" w:rsidRDefault="00205AE5" w:rsidP="0056749C">
            <w:pPr>
              <w:pStyle w:val="TabeladesnoUMAR"/>
              <w:rPr>
                <w:lang w:eastAsia="sl-SI"/>
              </w:rPr>
            </w:pPr>
            <w:r w:rsidRPr="00205AE5">
              <w:rPr>
                <w:lang w:eastAsia="sl-SI"/>
              </w:rPr>
              <w:t>5.879</w:t>
            </w:r>
          </w:p>
        </w:tc>
        <w:tc>
          <w:tcPr>
            <w:tcW w:w="439" w:type="pct"/>
            <w:shd w:val="clear" w:color="auto" w:fill="auto"/>
            <w:noWrap/>
            <w:vAlign w:val="bottom"/>
            <w:hideMark/>
          </w:tcPr>
          <w:p w14:paraId="5BF8C2D9" w14:textId="77777777" w:rsidR="00205AE5" w:rsidRPr="00205AE5" w:rsidRDefault="00205AE5" w:rsidP="0056749C">
            <w:pPr>
              <w:pStyle w:val="TabeladesnoUMAR"/>
              <w:rPr>
                <w:lang w:eastAsia="sl-SI"/>
              </w:rPr>
            </w:pPr>
            <w:r w:rsidRPr="00205AE5">
              <w:rPr>
                <w:lang w:eastAsia="sl-SI"/>
              </w:rPr>
              <w:t>5.569</w:t>
            </w:r>
          </w:p>
        </w:tc>
      </w:tr>
      <w:tr w:rsidR="00692C1B" w:rsidRPr="00205AE5" w14:paraId="1841F176" w14:textId="77777777" w:rsidTr="00BB5BF2">
        <w:trPr>
          <w:trHeight w:val="264"/>
        </w:trPr>
        <w:tc>
          <w:tcPr>
            <w:tcW w:w="1486" w:type="pct"/>
            <w:shd w:val="clear" w:color="auto" w:fill="auto"/>
            <w:noWrap/>
            <w:vAlign w:val="bottom"/>
            <w:hideMark/>
          </w:tcPr>
          <w:p w14:paraId="55EBA471" w14:textId="77777777" w:rsidR="00205AE5" w:rsidRPr="00205AE5" w:rsidRDefault="00205AE5" w:rsidP="0056749C">
            <w:pPr>
              <w:pStyle w:val="TabelalevoUMAR"/>
              <w:rPr>
                <w:rFonts w:cs="Arial"/>
                <w:color w:val="000000"/>
                <w:lang w:eastAsia="sl-SI"/>
              </w:rPr>
            </w:pPr>
            <w:r w:rsidRPr="00205AE5">
              <w:rPr>
                <w:rFonts w:cs="Arial"/>
                <w:color w:val="000000"/>
                <w:lang w:eastAsia="sl-SI"/>
              </w:rPr>
              <w:t>Naravni prirast</w:t>
            </w:r>
          </w:p>
        </w:tc>
        <w:tc>
          <w:tcPr>
            <w:tcW w:w="439" w:type="pct"/>
            <w:shd w:val="clear" w:color="auto" w:fill="auto"/>
            <w:noWrap/>
            <w:vAlign w:val="bottom"/>
            <w:hideMark/>
          </w:tcPr>
          <w:p w14:paraId="4C1076F7" w14:textId="77777777" w:rsidR="00205AE5" w:rsidRPr="00205AE5" w:rsidRDefault="00205AE5" w:rsidP="0056749C">
            <w:pPr>
              <w:pStyle w:val="TabeladesnoUMAR"/>
              <w:rPr>
                <w:lang w:eastAsia="sl-SI"/>
              </w:rPr>
            </w:pPr>
            <w:r w:rsidRPr="00205AE5">
              <w:rPr>
                <w:lang w:eastAsia="sl-SI"/>
              </w:rPr>
              <w:t>-5.942</w:t>
            </w:r>
          </w:p>
        </w:tc>
        <w:tc>
          <w:tcPr>
            <w:tcW w:w="439" w:type="pct"/>
            <w:shd w:val="clear" w:color="auto" w:fill="auto"/>
            <w:noWrap/>
            <w:vAlign w:val="bottom"/>
            <w:hideMark/>
          </w:tcPr>
          <w:p w14:paraId="2EB0BB7F" w14:textId="77777777" w:rsidR="00205AE5" w:rsidRPr="00205AE5" w:rsidRDefault="00205AE5" w:rsidP="0056749C">
            <w:pPr>
              <w:pStyle w:val="TabeladesnoUMAR"/>
              <w:rPr>
                <w:lang w:eastAsia="sl-SI"/>
              </w:rPr>
            </w:pPr>
            <w:r w:rsidRPr="00205AE5">
              <w:rPr>
                <w:lang w:eastAsia="sl-SI"/>
              </w:rPr>
              <w:t>-7.305</w:t>
            </w:r>
          </w:p>
        </w:tc>
        <w:tc>
          <w:tcPr>
            <w:tcW w:w="439" w:type="pct"/>
            <w:shd w:val="clear" w:color="auto" w:fill="auto"/>
            <w:noWrap/>
            <w:vAlign w:val="bottom"/>
            <w:hideMark/>
          </w:tcPr>
          <w:p w14:paraId="4D15C1D7" w14:textId="77777777" w:rsidR="00205AE5" w:rsidRPr="00205AE5" w:rsidRDefault="00205AE5" w:rsidP="0056749C">
            <w:pPr>
              <w:pStyle w:val="TabeladesnoUMAR"/>
              <w:rPr>
                <w:lang w:eastAsia="sl-SI"/>
              </w:rPr>
            </w:pPr>
            <w:r w:rsidRPr="00205AE5">
              <w:rPr>
                <w:lang w:eastAsia="sl-SI"/>
              </w:rPr>
              <w:t>-8.514</w:t>
            </w:r>
          </w:p>
        </w:tc>
        <w:tc>
          <w:tcPr>
            <w:tcW w:w="439" w:type="pct"/>
            <w:shd w:val="clear" w:color="auto" w:fill="auto"/>
            <w:noWrap/>
            <w:vAlign w:val="bottom"/>
            <w:hideMark/>
          </w:tcPr>
          <w:p w14:paraId="56BA329D" w14:textId="77777777" w:rsidR="00205AE5" w:rsidRPr="00205AE5" w:rsidRDefault="00205AE5" w:rsidP="0056749C">
            <w:pPr>
              <w:pStyle w:val="TabeladesnoUMAR"/>
              <w:rPr>
                <w:lang w:eastAsia="sl-SI"/>
              </w:rPr>
            </w:pPr>
            <w:r w:rsidRPr="00205AE5">
              <w:rPr>
                <w:lang w:eastAsia="sl-SI"/>
              </w:rPr>
              <w:t>-10.572</w:t>
            </w:r>
          </w:p>
        </w:tc>
        <w:tc>
          <w:tcPr>
            <w:tcW w:w="439" w:type="pct"/>
            <w:shd w:val="clear" w:color="auto" w:fill="auto"/>
            <w:noWrap/>
            <w:vAlign w:val="bottom"/>
            <w:hideMark/>
          </w:tcPr>
          <w:p w14:paraId="4034A540" w14:textId="77777777" w:rsidR="00205AE5" w:rsidRPr="00205AE5" w:rsidRDefault="00205AE5" w:rsidP="0056749C">
            <w:pPr>
              <w:pStyle w:val="TabeladesnoUMAR"/>
              <w:rPr>
                <w:lang w:eastAsia="sl-SI"/>
              </w:rPr>
            </w:pPr>
            <w:r w:rsidRPr="00205AE5">
              <w:rPr>
                <w:lang w:eastAsia="sl-SI"/>
              </w:rPr>
              <w:t>-10.514</w:t>
            </w:r>
          </w:p>
        </w:tc>
        <w:tc>
          <w:tcPr>
            <w:tcW w:w="439" w:type="pct"/>
            <w:shd w:val="clear" w:color="auto" w:fill="auto"/>
            <w:noWrap/>
            <w:vAlign w:val="bottom"/>
            <w:hideMark/>
          </w:tcPr>
          <w:p w14:paraId="3EB45786" w14:textId="77777777" w:rsidR="00205AE5" w:rsidRPr="00205AE5" w:rsidRDefault="00205AE5" w:rsidP="0056749C">
            <w:pPr>
              <w:pStyle w:val="TabeladesnoUMAR"/>
              <w:rPr>
                <w:lang w:eastAsia="sl-SI"/>
              </w:rPr>
            </w:pPr>
            <w:r w:rsidRPr="00205AE5">
              <w:rPr>
                <w:lang w:eastAsia="sl-SI"/>
              </w:rPr>
              <w:t>-8.903</w:t>
            </w:r>
          </w:p>
        </w:tc>
        <w:tc>
          <w:tcPr>
            <w:tcW w:w="439" w:type="pct"/>
            <w:shd w:val="clear" w:color="auto" w:fill="auto"/>
            <w:noWrap/>
            <w:vAlign w:val="bottom"/>
            <w:hideMark/>
          </w:tcPr>
          <w:p w14:paraId="278E9044" w14:textId="77777777" w:rsidR="00205AE5" w:rsidRPr="00205AE5" w:rsidRDefault="00205AE5" w:rsidP="0056749C">
            <w:pPr>
              <w:pStyle w:val="TabeladesnoUMAR"/>
              <w:rPr>
                <w:lang w:eastAsia="sl-SI"/>
              </w:rPr>
            </w:pPr>
            <w:r w:rsidRPr="00205AE5">
              <w:rPr>
                <w:lang w:eastAsia="sl-SI"/>
              </w:rPr>
              <w:t>-7.144</w:t>
            </w:r>
          </w:p>
        </w:tc>
        <w:tc>
          <w:tcPr>
            <w:tcW w:w="439" w:type="pct"/>
            <w:shd w:val="clear" w:color="auto" w:fill="auto"/>
            <w:noWrap/>
            <w:vAlign w:val="bottom"/>
            <w:hideMark/>
          </w:tcPr>
          <w:p w14:paraId="2341395A" w14:textId="77777777" w:rsidR="00205AE5" w:rsidRPr="00205AE5" w:rsidRDefault="00205AE5" w:rsidP="0056749C">
            <w:pPr>
              <w:pStyle w:val="TabeladesnoUMAR"/>
              <w:rPr>
                <w:lang w:eastAsia="sl-SI"/>
              </w:rPr>
            </w:pPr>
            <w:r w:rsidRPr="00205AE5">
              <w:rPr>
                <w:lang w:eastAsia="sl-SI"/>
              </w:rPr>
              <w:t>-6.561</w:t>
            </w:r>
          </w:p>
        </w:tc>
      </w:tr>
      <w:tr w:rsidR="00692C1B" w:rsidRPr="00205AE5" w14:paraId="60663284" w14:textId="77777777" w:rsidTr="00BB5BF2">
        <w:trPr>
          <w:trHeight w:val="264"/>
        </w:trPr>
        <w:tc>
          <w:tcPr>
            <w:tcW w:w="1486" w:type="pct"/>
            <w:shd w:val="clear" w:color="auto" w:fill="auto"/>
            <w:noWrap/>
            <w:vAlign w:val="bottom"/>
            <w:hideMark/>
          </w:tcPr>
          <w:p w14:paraId="25398EBE" w14:textId="45870A16" w:rsidR="00205AE5" w:rsidRPr="00205AE5" w:rsidRDefault="00205AE5" w:rsidP="0056749C">
            <w:pPr>
              <w:pStyle w:val="TabelalevoUMAR"/>
              <w:rPr>
                <w:rFonts w:cs="Arial"/>
                <w:color w:val="000000"/>
                <w:lang w:eastAsia="sl-SI"/>
              </w:rPr>
            </w:pPr>
            <w:r w:rsidRPr="00205AE5">
              <w:rPr>
                <w:rFonts w:cs="Arial"/>
                <w:color w:val="000000"/>
                <w:lang w:eastAsia="sl-SI"/>
              </w:rPr>
              <w:t>Povprečna starost, mediana</w:t>
            </w:r>
          </w:p>
        </w:tc>
        <w:tc>
          <w:tcPr>
            <w:tcW w:w="439" w:type="pct"/>
            <w:shd w:val="clear" w:color="auto" w:fill="auto"/>
            <w:noWrap/>
            <w:vAlign w:val="bottom"/>
            <w:hideMark/>
          </w:tcPr>
          <w:p w14:paraId="2C25E7AA" w14:textId="77777777" w:rsidR="00205AE5" w:rsidRPr="00205AE5" w:rsidRDefault="00205AE5" w:rsidP="0056749C">
            <w:pPr>
              <w:pStyle w:val="TabeladesnoUMAR"/>
              <w:rPr>
                <w:lang w:eastAsia="sl-SI"/>
              </w:rPr>
            </w:pPr>
            <w:r w:rsidRPr="00205AE5">
              <w:rPr>
                <w:lang w:eastAsia="sl-SI"/>
              </w:rPr>
              <w:t>45,9</w:t>
            </w:r>
          </w:p>
        </w:tc>
        <w:tc>
          <w:tcPr>
            <w:tcW w:w="439" w:type="pct"/>
            <w:shd w:val="clear" w:color="auto" w:fill="auto"/>
            <w:noWrap/>
            <w:vAlign w:val="bottom"/>
            <w:hideMark/>
          </w:tcPr>
          <w:p w14:paraId="45353A07" w14:textId="77777777" w:rsidR="00205AE5" w:rsidRPr="00205AE5" w:rsidRDefault="00205AE5" w:rsidP="0056749C">
            <w:pPr>
              <w:pStyle w:val="TabeladesnoUMAR"/>
              <w:rPr>
                <w:lang w:eastAsia="sl-SI"/>
              </w:rPr>
            </w:pPr>
            <w:r w:rsidRPr="00205AE5">
              <w:rPr>
                <w:lang w:eastAsia="sl-SI"/>
              </w:rPr>
              <w:t>48,4</w:t>
            </w:r>
          </w:p>
        </w:tc>
        <w:tc>
          <w:tcPr>
            <w:tcW w:w="439" w:type="pct"/>
            <w:shd w:val="clear" w:color="auto" w:fill="auto"/>
            <w:noWrap/>
            <w:vAlign w:val="bottom"/>
            <w:hideMark/>
          </w:tcPr>
          <w:p w14:paraId="25FFED25" w14:textId="77777777" w:rsidR="00205AE5" w:rsidRPr="00205AE5" w:rsidRDefault="00205AE5" w:rsidP="0056749C">
            <w:pPr>
              <w:pStyle w:val="TabeladesnoUMAR"/>
              <w:rPr>
                <w:lang w:eastAsia="sl-SI"/>
              </w:rPr>
            </w:pPr>
            <w:r w:rsidRPr="00205AE5">
              <w:rPr>
                <w:lang w:eastAsia="sl-SI"/>
              </w:rPr>
              <w:t>48,9</w:t>
            </w:r>
          </w:p>
        </w:tc>
        <w:tc>
          <w:tcPr>
            <w:tcW w:w="439" w:type="pct"/>
            <w:shd w:val="clear" w:color="auto" w:fill="auto"/>
            <w:noWrap/>
            <w:vAlign w:val="bottom"/>
            <w:hideMark/>
          </w:tcPr>
          <w:p w14:paraId="66396CAC" w14:textId="77777777" w:rsidR="00205AE5" w:rsidRPr="00205AE5" w:rsidRDefault="00205AE5" w:rsidP="0056749C">
            <w:pPr>
              <w:pStyle w:val="TabeladesnoUMAR"/>
              <w:rPr>
                <w:lang w:eastAsia="sl-SI"/>
              </w:rPr>
            </w:pPr>
            <w:r w:rsidRPr="00205AE5">
              <w:rPr>
                <w:lang w:eastAsia="sl-SI"/>
              </w:rPr>
              <w:t>48,6</w:t>
            </w:r>
          </w:p>
        </w:tc>
        <w:tc>
          <w:tcPr>
            <w:tcW w:w="439" w:type="pct"/>
            <w:shd w:val="clear" w:color="auto" w:fill="auto"/>
            <w:noWrap/>
            <w:vAlign w:val="bottom"/>
            <w:hideMark/>
          </w:tcPr>
          <w:p w14:paraId="440AE038" w14:textId="77777777" w:rsidR="00205AE5" w:rsidRPr="00205AE5" w:rsidRDefault="00205AE5" w:rsidP="0056749C">
            <w:pPr>
              <w:pStyle w:val="TabeladesnoUMAR"/>
              <w:rPr>
                <w:lang w:eastAsia="sl-SI"/>
              </w:rPr>
            </w:pPr>
            <w:r w:rsidRPr="00205AE5">
              <w:rPr>
                <w:lang w:eastAsia="sl-SI"/>
              </w:rPr>
              <w:t>49,5</w:t>
            </w:r>
          </w:p>
        </w:tc>
        <w:tc>
          <w:tcPr>
            <w:tcW w:w="439" w:type="pct"/>
            <w:shd w:val="clear" w:color="auto" w:fill="auto"/>
            <w:noWrap/>
            <w:vAlign w:val="bottom"/>
            <w:hideMark/>
          </w:tcPr>
          <w:p w14:paraId="7048A719" w14:textId="77777777" w:rsidR="00205AE5" w:rsidRPr="00205AE5" w:rsidRDefault="00205AE5" w:rsidP="0056749C">
            <w:pPr>
              <w:pStyle w:val="TabeladesnoUMAR"/>
              <w:rPr>
                <w:lang w:eastAsia="sl-SI"/>
              </w:rPr>
            </w:pPr>
            <w:r w:rsidRPr="00205AE5">
              <w:rPr>
                <w:lang w:eastAsia="sl-SI"/>
              </w:rPr>
              <w:t>49,5</w:t>
            </w:r>
          </w:p>
        </w:tc>
        <w:tc>
          <w:tcPr>
            <w:tcW w:w="439" w:type="pct"/>
            <w:shd w:val="clear" w:color="auto" w:fill="auto"/>
            <w:noWrap/>
            <w:vAlign w:val="bottom"/>
            <w:hideMark/>
          </w:tcPr>
          <w:p w14:paraId="2E3F535C" w14:textId="77777777" w:rsidR="00205AE5" w:rsidRPr="00205AE5" w:rsidRDefault="00205AE5" w:rsidP="0056749C">
            <w:pPr>
              <w:pStyle w:val="TabeladesnoUMAR"/>
              <w:rPr>
                <w:lang w:eastAsia="sl-SI"/>
              </w:rPr>
            </w:pPr>
            <w:r w:rsidRPr="00205AE5">
              <w:rPr>
                <w:lang w:eastAsia="sl-SI"/>
              </w:rPr>
              <w:t>49,2</w:t>
            </w:r>
          </w:p>
        </w:tc>
        <w:tc>
          <w:tcPr>
            <w:tcW w:w="439" w:type="pct"/>
            <w:shd w:val="clear" w:color="auto" w:fill="auto"/>
            <w:noWrap/>
            <w:vAlign w:val="bottom"/>
            <w:hideMark/>
          </w:tcPr>
          <w:p w14:paraId="4E6DABD7" w14:textId="77777777" w:rsidR="00205AE5" w:rsidRPr="00205AE5" w:rsidRDefault="00205AE5" w:rsidP="0056749C">
            <w:pPr>
              <w:pStyle w:val="TabeladesnoUMAR"/>
              <w:rPr>
                <w:lang w:eastAsia="sl-SI"/>
              </w:rPr>
            </w:pPr>
            <w:r w:rsidRPr="00205AE5">
              <w:rPr>
                <w:lang w:eastAsia="sl-SI"/>
              </w:rPr>
              <w:t>49,9</w:t>
            </w:r>
          </w:p>
        </w:tc>
      </w:tr>
      <w:tr w:rsidR="00692C1B" w:rsidRPr="00205AE5" w14:paraId="1ECBA782" w14:textId="77777777" w:rsidTr="00BB5BF2">
        <w:trPr>
          <w:trHeight w:val="264"/>
        </w:trPr>
        <w:tc>
          <w:tcPr>
            <w:tcW w:w="1486" w:type="pct"/>
            <w:shd w:val="clear" w:color="auto" w:fill="auto"/>
            <w:noWrap/>
            <w:vAlign w:val="bottom"/>
            <w:hideMark/>
          </w:tcPr>
          <w:p w14:paraId="4BACE2DF" w14:textId="0CF20AAB" w:rsidR="00205AE5" w:rsidRPr="00205AE5" w:rsidRDefault="00B1170C" w:rsidP="0056749C">
            <w:pPr>
              <w:pStyle w:val="TabelalevoUMAR"/>
              <w:rPr>
                <w:rFonts w:cs="Arial"/>
                <w:color w:val="000000"/>
                <w:lang w:eastAsia="sl-SI"/>
              </w:rPr>
            </w:pPr>
            <w:r>
              <w:rPr>
                <w:rFonts w:cs="Arial"/>
                <w:color w:val="000000"/>
                <w:lang w:eastAsia="sl-SI"/>
              </w:rPr>
              <w:t xml:space="preserve">    moški</w:t>
            </w:r>
          </w:p>
        </w:tc>
        <w:tc>
          <w:tcPr>
            <w:tcW w:w="439" w:type="pct"/>
            <w:shd w:val="clear" w:color="auto" w:fill="auto"/>
            <w:noWrap/>
            <w:vAlign w:val="bottom"/>
            <w:hideMark/>
          </w:tcPr>
          <w:p w14:paraId="42885496" w14:textId="77777777" w:rsidR="00205AE5" w:rsidRPr="00205AE5" w:rsidRDefault="00205AE5" w:rsidP="0056749C">
            <w:pPr>
              <w:pStyle w:val="TabeladesnoUMAR"/>
              <w:rPr>
                <w:lang w:eastAsia="sl-SI"/>
              </w:rPr>
            </w:pPr>
            <w:r w:rsidRPr="00205AE5">
              <w:rPr>
                <w:lang w:eastAsia="sl-SI"/>
              </w:rPr>
              <w:t>44,4</w:t>
            </w:r>
          </w:p>
        </w:tc>
        <w:tc>
          <w:tcPr>
            <w:tcW w:w="439" w:type="pct"/>
            <w:shd w:val="clear" w:color="auto" w:fill="auto"/>
            <w:noWrap/>
            <w:vAlign w:val="bottom"/>
            <w:hideMark/>
          </w:tcPr>
          <w:p w14:paraId="0321D497" w14:textId="77777777" w:rsidR="00205AE5" w:rsidRPr="00205AE5" w:rsidRDefault="00205AE5" w:rsidP="0056749C">
            <w:pPr>
              <w:pStyle w:val="TabeladesnoUMAR"/>
              <w:rPr>
                <w:lang w:eastAsia="sl-SI"/>
              </w:rPr>
            </w:pPr>
            <w:r w:rsidRPr="00205AE5">
              <w:rPr>
                <w:lang w:eastAsia="sl-SI"/>
              </w:rPr>
              <w:t>46,7</w:t>
            </w:r>
          </w:p>
        </w:tc>
        <w:tc>
          <w:tcPr>
            <w:tcW w:w="439" w:type="pct"/>
            <w:shd w:val="clear" w:color="auto" w:fill="auto"/>
            <w:noWrap/>
            <w:vAlign w:val="bottom"/>
            <w:hideMark/>
          </w:tcPr>
          <w:p w14:paraId="43E54D04" w14:textId="77777777" w:rsidR="00205AE5" w:rsidRPr="00205AE5" w:rsidRDefault="00205AE5" w:rsidP="0056749C">
            <w:pPr>
              <w:pStyle w:val="TabeladesnoUMAR"/>
              <w:rPr>
                <w:lang w:eastAsia="sl-SI"/>
              </w:rPr>
            </w:pPr>
            <w:r w:rsidRPr="00205AE5">
              <w:rPr>
                <w:lang w:eastAsia="sl-SI"/>
              </w:rPr>
              <w:t>47,2</w:t>
            </w:r>
          </w:p>
        </w:tc>
        <w:tc>
          <w:tcPr>
            <w:tcW w:w="439" w:type="pct"/>
            <w:shd w:val="clear" w:color="auto" w:fill="auto"/>
            <w:noWrap/>
            <w:vAlign w:val="bottom"/>
            <w:hideMark/>
          </w:tcPr>
          <w:p w14:paraId="4EC87A15" w14:textId="77777777" w:rsidR="00205AE5" w:rsidRPr="00205AE5" w:rsidRDefault="00205AE5" w:rsidP="0056749C">
            <w:pPr>
              <w:pStyle w:val="TabeladesnoUMAR"/>
              <w:rPr>
                <w:lang w:eastAsia="sl-SI"/>
              </w:rPr>
            </w:pPr>
            <w:r w:rsidRPr="00205AE5">
              <w:rPr>
                <w:lang w:eastAsia="sl-SI"/>
              </w:rPr>
              <w:t>47,5</w:t>
            </w:r>
          </w:p>
        </w:tc>
        <w:tc>
          <w:tcPr>
            <w:tcW w:w="439" w:type="pct"/>
            <w:shd w:val="clear" w:color="auto" w:fill="auto"/>
            <w:noWrap/>
            <w:vAlign w:val="bottom"/>
            <w:hideMark/>
          </w:tcPr>
          <w:p w14:paraId="7C004A1F" w14:textId="77777777" w:rsidR="00205AE5" w:rsidRPr="00205AE5" w:rsidRDefault="00205AE5" w:rsidP="0056749C">
            <w:pPr>
              <w:pStyle w:val="TabeladesnoUMAR"/>
              <w:rPr>
                <w:lang w:eastAsia="sl-SI"/>
              </w:rPr>
            </w:pPr>
            <w:r w:rsidRPr="00205AE5">
              <w:rPr>
                <w:lang w:eastAsia="sl-SI"/>
              </w:rPr>
              <w:t>48,7</w:t>
            </w:r>
          </w:p>
        </w:tc>
        <w:tc>
          <w:tcPr>
            <w:tcW w:w="439" w:type="pct"/>
            <w:shd w:val="clear" w:color="auto" w:fill="auto"/>
            <w:noWrap/>
            <w:vAlign w:val="bottom"/>
            <w:hideMark/>
          </w:tcPr>
          <w:p w14:paraId="322886F1" w14:textId="77777777" w:rsidR="00205AE5" w:rsidRPr="00205AE5" w:rsidRDefault="00205AE5" w:rsidP="0056749C">
            <w:pPr>
              <w:pStyle w:val="TabeladesnoUMAR"/>
              <w:rPr>
                <w:lang w:eastAsia="sl-SI"/>
              </w:rPr>
            </w:pPr>
            <w:r w:rsidRPr="00205AE5">
              <w:rPr>
                <w:lang w:eastAsia="sl-SI"/>
              </w:rPr>
              <w:t>48,9</w:t>
            </w:r>
          </w:p>
        </w:tc>
        <w:tc>
          <w:tcPr>
            <w:tcW w:w="439" w:type="pct"/>
            <w:shd w:val="clear" w:color="auto" w:fill="auto"/>
            <w:noWrap/>
            <w:vAlign w:val="bottom"/>
            <w:hideMark/>
          </w:tcPr>
          <w:p w14:paraId="57CD92CE" w14:textId="77777777" w:rsidR="00205AE5" w:rsidRPr="00205AE5" w:rsidRDefault="00205AE5" w:rsidP="0056749C">
            <w:pPr>
              <w:pStyle w:val="TabeladesnoUMAR"/>
              <w:rPr>
                <w:lang w:eastAsia="sl-SI"/>
              </w:rPr>
            </w:pPr>
            <w:r w:rsidRPr="00205AE5">
              <w:rPr>
                <w:lang w:eastAsia="sl-SI"/>
              </w:rPr>
              <w:t>48,8</w:t>
            </w:r>
          </w:p>
        </w:tc>
        <w:tc>
          <w:tcPr>
            <w:tcW w:w="439" w:type="pct"/>
            <w:shd w:val="clear" w:color="auto" w:fill="auto"/>
            <w:noWrap/>
            <w:vAlign w:val="bottom"/>
            <w:hideMark/>
          </w:tcPr>
          <w:p w14:paraId="0485DF14" w14:textId="77777777" w:rsidR="00205AE5" w:rsidRPr="00205AE5" w:rsidRDefault="00205AE5" w:rsidP="0056749C">
            <w:pPr>
              <w:pStyle w:val="TabeladesnoUMAR"/>
              <w:rPr>
                <w:lang w:eastAsia="sl-SI"/>
              </w:rPr>
            </w:pPr>
            <w:r w:rsidRPr="00205AE5">
              <w:rPr>
                <w:lang w:eastAsia="sl-SI"/>
              </w:rPr>
              <w:t>49,5</w:t>
            </w:r>
          </w:p>
        </w:tc>
      </w:tr>
      <w:tr w:rsidR="00692C1B" w:rsidRPr="00205AE5" w14:paraId="3CD91D09" w14:textId="77777777" w:rsidTr="00BB5BF2">
        <w:trPr>
          <w:trHeight w:val="264"/>
        </w:trPr>
        <w:tc>
          <w:tcPr>
            <w:tcW w:w="1486" w:type="pct"/>
            <w:shd w:val="clear" w:color="auto" w:fill="auto"/>
            <w:noWrap/>
            <w:vAlign w:val="bottom"/>
            <w:hideMark/>
          </w:tcPr>
          <w:p w14:paraId="05E5E445" w14:textId="788EAE9B" w:rsidR="00205AE5" w:rsidRPr="00205AE5" w:rsidRDefault="00B1170C" w:rsidP="0056749C">
            <w:pPr>
              <w:pStyle w:val="TabelalevoUMAR"/>
              <w:rPr>
                <w:rFonts w:cs="Arial"/>
                <w:color w:val="000000"/>
                <w:lang w:eastAsia="sl-SI"/>
              </w:rPr>
            </w:pPr>
            <w:r>
              <w:rPr>
                <w:rFonts w:cs="Arial"/>
                <w:color w:val="000000"/>
                <w:lang w:eastAsia="sl-SI"/>
              </w:rPr>
              <w:t xml:space="preserve">    ženske</w:t>
            </w:r>
          </w:p>
        </w:tc>
        <w:tc>
          <w:tcPr>
            <w:tcW w:w="439" w:type="pct"/>
            <w:shd w:val="clear" w:color="auto" w:fill="auto"/>
            <w:noWrap/>
            <w:vAlign w:val="bottom"/>
            <w:hideMark/>
          </w:tcPr>
          <w:p w14:paraId="5F72EDD3" w14:textId="77777777" w:rsidR="00205AE5" w:rsidRPr="00205AE5" w:rsidRDefault="00205AE5" w:rsidP="0056749C">
            <w:pPr>
              <w:pStyle w:val="TabeladesnoUMAR"/>
              <w:rPr>
                <w:lang w:eastAsia="sl-SI"/>
              </w:rPr>
            </w:pPr>
            <w:r w:rsidRPr="00205AE5">
              <w:rPr>
                <w:lang w:eastAsia="sl-SI"/>
              </w:rPr>
              <w:t>47,5</w:t>
            </w:r>
          </w:p>
        </w:tc>
        <w:tc>
          <w:tcPr>
            <w:tcW w:w="439" w:type="pct"/>
            <w:shd w:val="clear" w:color="auto" w:fill="auto"/>
            <w:noWrap/>
            <w:vAlign w:val="bottom"/>
            <w:hideMark/>
          </w:tcPr>
          <w:p w14:paraId="571AB1C9" w14:textId="77777777" w:rsidR="00205AE5" w:rsidRPr="00205AE5" w:rsidRDefault="00205AE5" w:rsidP="0056749C">
            <w:pPr>
              <w:pStyle w:val="TabeladesnoUMAR"/>
              <w:rPr>
                <w:lang w:eastAsia="sl-SI"/>
              </w:rPr>
            </w:pPr>
            <w:r w:rsidRPr="00205AE5">
              <w:rPr>
                <w:lang w:eastAsia="sl-SI"/>
              </w:rPr>
              <w:t>50,2</w:t>
            </w:r>
          </w:p>
        </w:tc>
        <w:tc>
          <w:tcPr>
            <w:tcW w:w="439" w:type="pct"/>
            <w:shd w:val="clear" w:color="auto" w:fill="auto"/>
            <w:noWrap/>
            <w:vAlign w:val="bottom"/>
            <w:hideMark/>
          </w:tcPr>
          <w:p w14:paraId="362348B5" w14:textId="77777777" w:rsidR="00205AE5" w:rsidRPr="00205AE5" w:rsidRDefault="00205AE5" w:rsidP="0056749C">
            <w:pPr>
              <w:pStyle w:val="TabeladesnoUMAR"/>
              <w:rPr>
                <w:lang w:eastAsia="sl-SI"/>
              </w:rPr>
            </w:pPr>
            <w:r w:rsidRPr="00205AE5">
              <w:rPr>
                <w:lang w:eastAsia="sl-SI"/>
              </w:rPr>
              <w:t>50,9</w:t>
            </w:r>
          </w:p>
        </w:tc>
        <w:tc>
          <w:tcPr>
            <w:tcW w:w="439" w:type="pct"/>
            <w:shd w:val="clear" w:color="auto" w:fill="auto"/>
            <w:noWrap/>
            <w:vAlign w:val="bottom"/>
            <w:hideMark/>
          </w:tcPr>
          <w:p w14:paraId="02A915AF" w14:textId="77777777" w:rsidR="00205AE5" w:rsidRPr="00205AE5" w:rsidRDefault="00205AE5" w:rsidP="0056749C">
            <w:pPr>
              <w:pStyle w:val="TabeladesnoUMAR"/>
              <w:rPr>
                <w:lang w:eastAsia="sl-SI"/>
              </w:rPr>
            </w:pPr>
            <w:r w:rsidRPr="00205AE5">
              <w:rPr>
                <w:lang w:eastAsia="sl-SI"/>
              </w:rPr>
              <w:t>49,9</w:t>
            </w:r>
          </w:p>
        </w:tc>
        <w:tc>
          <w:tcPr>
            <w:tcW w:w="439" w:type="pct"/>
            <w:shd w:val="clear" w:color="auto" w:fill="auto"/>
            <w:noWrap/>
            <w:vAlign w:val="bottom"/>
            <w:hideMark/>
          </w:tcPr>
          <w:p w14:paraId="2BB18A74" w14:textId="77777777" w:rsidR="00205AE5" w:rsidRPr="00205AE5" w:rsidRDefault="00205AE5" w:rsidP="0056749C">
            <w:pPr>
              <w:pStyle w:val="TabeladesnoUMAR"/>
              <w:rPr>
                <w:lang w:eastAsia="sl-SI"/>
              </w:rPr>
            </w:pPr>
            <w:r w:rsidRPr="00205AE5">
              <w:rPr>
                <w:lang w:eastAsia="sl-SI"/>
              </w:rPr>
              <w:t>50,5</w:t>
            </w:r>
          </w:p>
        </w:tc>
        <w:tc>
          <w:tcPr>
            <w:tcW w:w="439" w:type="pct"/>
            <w:shd w:val="clear" w:color="auto" w:fill="auto"/>
            <w:noWrap/>
            <w:vAlign w:val="bottom"/>
            <w:hideMark/>
          </w:tcPr>
          <w:p w14:paraId="5519609B" w14:textId="77777777" w:rsidR="00205AE5" w:rsidRPr="00205AE5" w:rsidRDefault="00205AE5" w:rsidP="0056749C">
            <w:pPr>
              <w:pStyle w:val="TabeladesnoUMAR"/>
              <w:rPr>
                <w:lang w:eastAsia="sl-SI"/>
              </w:rPr>
            </w:pPr>
            <w:r w:rsidRPr="00205AE5">
              <w:rPr>
                <w:lang w:eastAsia="sl-SI"/>
              </w:rPr>
              <w:t>50,2</w:t>
            </w:r>
          </w:p>
        </w:tc>
        <w:tc>
          <w:tcPr>
            <w:tcW w:w="439" w:type="pct"/>
            <w:shd w:val="clear" w:color="auto" w:fill="auto"/>
            <w:noWrap/>
            <w:vAlign w:val="bottom"/>
            <w:hideMark/>
          </w:tcPr>
          <w:p w14:paraId="499BEA55" w14:textId="77777777" w:rsidR="00205AE5" w:rsidRPr="00205AE5" w:rsidRDefault="00205AE5" w:rsidP="0056749C">
            <w:pPr>
              <w:pStyle w:val="TabeladesnoUMAR"/>
              <w:rPr>
                <w:lang w:eastAsia="sl-SI"/>
              </w:rPr>
            </w:pPr>
            <w:r w:rsidRPr="00205AE5">
              <w:rPr>
                <w:lang w:eastAsia="sl-SI"/>
              </w:rPr>
              <w:t>49,6</w:t>
            </w:r>
          </w:p>
        </w:tc>
        <w:tc>
          <w:tcPr>
            <w:tcW w:w="439" w:type="pct"/>
            <w:shd w:val="clear" w:color="auto" w:fill="auto"/>
            <w:noWrap/>
            <w:vAlign w:val="bottom"/>
            <w:hideMark/>
          </w:tcPr>
          <w:p w14:paraId="7D79986A" w14:textId="77777777" w:rsidR="00205AE5" w:rsidRPr="00205AE5" w:rsidRDefault="00205AE5" w:rsidP="0056749C">
            <w:pPr>
              <w:pStyle w:val="TabeladesnoUMAR"/>
              <w:rPr>
                <w:lang w:eastAsia="sl-SI"/>
              </w:rPr>
            </w:pPr>
            <w:r w:rsidRPr="00205AE5">
              <w:rPr>
                <w:lang w:eastAsia="sl-SI"/>
              </w:rPr>
              <w:t>50,3</w:t>
            </w:r>
          </w:p>
        </w:tc>
      </w:tr>
      <w:tr w:rsidR="00692C1B" w:rsidRPr="00205AE5" w14:paraId="6C269B40" w14:textId="77777777" w:rsidTr="00BB5BF2">
        <w:trPr>
          <w:trHeight w:val="264"/>
        </w:trPr>
        <w:tc>
          <w:tcPr>
            <w:tcW w:w="1486" w:type="pct"/>
            <w:shd w:val="clear" w:color="auto" w:fill="auto"/>
            <w:noWrap/>
            <w:vAlign w:val="bottom"/>
            <w:hideMark/>
          </w:tcPr>
          <w:p w14:paraId="20D66869" w14:textId="49342945" w:rsidR="00205AE5" w:rsidRPr="00205AE5" w:rsidRDefault="00205AE5" w:rsidP="0056749C">
            <w:pPr>
              <w:pStyle w:val="TabelalevoUMAR"/>
              <w:rPr>
                <w:rFonts w:cs="Arial"/>
                <w:color w:val="000000"/>
                <w:lang w:eastAsia="sl-SI"/>
              </w:rPr>
            </w:pPr>
            <w:r w:rsidRPr="00205AE5">
              <w:rPr>
                <w:rFonts w:cs="Arial"/>
                <w:color w:val="000000"/>
                <w:lang w:eastAsia="sl-SI"/>
              </w:rPr>
              <w:t>Koeficient odvisnosti mladih</w:t>
            </w:r>
            <w:r w:rsidR="00C76063">
              <w:rPr>
                <w:rFonts w:cs="Arial"/>
                <w:color w:val="000000"/>
                <w:lang w:eastAsia="sl-SI"/>
              </w:rPr>
              <w:t>,</w:t>
            </w:r>
            <w:r w:rsidRPr="00205AE5">
              <w:rPr>
                <w:rFonts w:cs="Arial"/>
                <w:color w:val="000000"/>
                <w:lang w:eastAsia="sl-SI"/>
              </w:rPr>
              <w:t xml:space="preserve"> </w:t>
            </w:r>
            <w:r w:rsidR="00C76063">
              <w:rPr>
                <w:rFonts w:cs="Arial"/>
                <w:color w:val="000000"/>
                <w:lang w:eastAsia="sl-SI"/>
              </w:rPr>
              <w:br/>
            </w:r>
            <w:r w:rsidR="00B1170C">
              <w:rPr>
                <w:rFonts w:cs="Arial"/>
                <w:color w:val="000000"/>
                <w:lang w:eastAsia="sl-SI"/>
              </w:rPr>
              <w:t>(</w:t>
            </w:r>
            <w:r w:rsidRPr="00205AE5">
              <w:rPr>
                <w:rFonts w:cs="Arial"/>
                <w:color w:val="000000"/>
                <w:lang w:eastAsia="sl-SI"/>
              </w:rPr>
              <w:t>0</w:t>
            </w:r>
            <w:r w:rsidR="00B1170C">
              <w:rPr>
                <w:rFonts w:cs="Arial"/>
                <w:color w:val="000000"/>
                <w:lang w:eastAsia="sl-SI"/>
              </w:rPr>
              <w:t>–</w:t>
            </w:r>
            <w:r w:rsidRPr="00205AE5">
              <w:rPr>
                <w:rFonts w:cs="Arial"/>
                <w:color w:val="000000"/>
                <w:lang w:eastAsia="sl-SI"/>
              </w:rPr>
              <w:t>19</w:t>
            </w:r>
            <w:r w:rsidR="00B1170C">
              <w:rPr>
                <w:rFonts w:cs="Arial"/>
                <w:color w:val="000000"/>
                <w:lang w:eastAsia="sl-SI"/>
              </w:rPr>
              <w:t>)</w:t>
            </w:r>
            <w:r w:rsidR="00C76063">
              <w:rPr>
                <w:rFonts w:cs="Arial"/>
                <w:color w:val="000000"/>
                <w:lang w:eastAsia="sl-SI"/>
              </w:rPr>
              <w:t xml:space="preserve"> </w:t>
            </w:r>
            <w:r w:rsidRPr="00205AE5">
              <w:rPr>
                <w:rFonts w:cs="Arial"/>
                <w:color w:val="000000"/>
                <w:lang w:eastAsia="sl-SI"/>
              </w:rPr>
              <w:t>/</w:t>
            </w:r>
            <w:r w:rsidR="00C76063">
              <w:rPr>
                <w:rFonts w:cs="Arial"/>
                <w:color w:val="000000"/>
                <w:lang w:eastAsia="sl-SI"/>
              </w:rPr>
              <w:t xml:space="preserve"> </w:t>
            </w:r>
            <w:r w:rsidR="00B1170C">
              <w:rPr>
                <w:rFonts w:cs="Arial"/>
                <w:color w:val="000000"/>
                <w:lang w:eastAsia="sl-SI"/>
              </w:rPr>
              <w:t>(</w:t>
            </w:r>
            <w:r w:rsidRPr="00205AE5">
              <w:rPr>
                <w:rFonts w:cs="Arial"/>
                <w:color w:val="000000"/>
                <w:lang w:eastAsia="sl-SI"/>
              </w:rPr>
              <w:t>20-64</w:t>
            </w:r>
            <w:r w:rsidR="00B1170C">
              <w:rPr>
                <w:rFonts w:cs="Arial"/>
                <w:color w:val="000000"/>
                <w:lang w:eastAsia="sl-SI"/>
              </w:rPr>
              <w:t>) * 100</w:t>
            </w:r>
          </w:p>
        </w:tc>
        <w:tc>
          <w:tcPr>
            <w:tcW w:w="439" w:type="pct"/>
            <w:shd w:val="clear" w:color="auto" w:fill="auto"/>
            <w:noWrap/>
            <w:vAlign w:val="bottom"/>
            <w:hideMark/>
          </w:tcPr>
          <w:p w14:paraId="5C704448" w14:textId="77777777" w:rsidR="00205AE5" w:rsidRPr="00205AE5" w:rsidRDefault="00205AE5" w:rsidP="0056749C">
            <w:pPr>
              <w:pStyle w:val="TabeladesnoUMAR"/>
              <w:rPr>
                <w:lang w:eastAsia="sl-SI"/>
              </w:rPr>
            </w:pPr>
            <w:r w:rsidRPr="00205AE5">
              <w:rPr>
                <w:lang w:eastAsia="sl-SI"/>
              </w:rPr>
              <w:t>33,6</w:t>
            </w:r>
          </w:p>
        </w:tc>
        <w:tc>
          <w:tcPr>
            <w:tcW w:w="439" w:type="pct"/>
            <w:shd w:val="clear" w:color="auto" w:fill="auto"/>
            <w:noWrap/>
            <w:vAlign w:val="bottom"/>
            <w:hideMark/>
          </w:tcPr>
          <w:p w14:paraId="59F86A94" w14:textId="77777777" w:rsidR="00205AE5" w:rsidRPr="00205AE5" w:rsidRDefault="00205AE5" w:rsidP="0056749C">
            <w:pPr>
              <w:pStyle w:val="TabeladesnoUMAR"/>
              <w:rPr>
                <w:lang w:eastAsia="sl-SI"/>
              </w:rPr>
            </w:pPr>
            <w:r w:rsidRPr="00205AE5">
              <w:rPr>
                <w:lang w:eastAsia="sl-SI"/>
              </w:rPr>
              <w:t>31,5</w:t>
            </w:r>
          </w:p>
        </w:tc>
        <w:tc>
          <w:tcPr>
            <w:tcW w:w="439" w:type="pct"/>
            <w:shd w:val="clear" w:color="auto" w:fill="auto"/>
            <w:noWrap/>
            <w:vAlign w:val="bottom"/>
            <w:hideMark/>
          </w:tcPr>
          <w:p w14:paraId="2A1D833D" w14:textId="77777777" w:rsidR="00205AE5" w:rsidRPr="00205AE5" w:rsidRDefault="00205AE5" w:rsidP="0056749C">
            <w:pPr>
              <w:pStyle w:val="TabeladesnoUMAR"/>
              <w:rPr>
                <w:lang w:eastAsia="sl-SI"/>
              </w:rPr>
            </w:pPr>
            <w:r w:rsidRPr="00205AE5">
              <w:rPr>
                <w:lang w:eastAsia="sl-SI"/>
              </w:rPr>
              <w:t>32,7</w:t>
            </w:r>
          </w:p>
        </w:tc>
        <w:tc>
          <w:tcPr>
            <w:tcW w:w="439" w:type="pct"/>
            <w:shd w:val="clear" w:color="auto" w:fill="auto"/>
            <w:noWrap/>
            <w:vAlign w:val="bottom"/>
            <w:hideMark/>
          </w:tcPr>
          <w:p w14:paraId="49407BF9" w14:textId="77777777" w:rsidR="00205AE5" w:rsidRPr="00205AE5" w:rsidRDefault="00205AE5" w:rsidP="0056749C">
            <w:pPr>
              <w:pStyle w:val="TabeladesnoUMAR"/>
              <w:rPr>
                <w:lang w:eastAsia="sl-SI"/>
              </w:rPr>
            </w:pPr>
            <w:r w:rsidRPr="00205AE5">
              <w:rPr>
                <w:lang w:eastAsia="sl-SI"/>
              </w:rPr>
              <w:t>35,4</w:t>
            </w:r>
          </w:p>
        </w:tc>
        <w:tc>
          <w:tcPr>
            <w:tcW w:w="439" w:type="pct"/>
            <w:shd w:val="clear" w:color="auto" w:fill="auto"/>
            <w:noWrap/>
            <w:vAlign w:val="bottom"/>
            <w:hideMark/>
          </w:tcPr>
          <w:p w14:paraId="49E0DDDE" w14:textId="77777777" w:rsidR="00205AE5" w:rsidRPr="00205AE5" w:rsidRDefault="00205AE5" w:rsidP="0056749C">
            <w:pPr>
              <w:pStyle w:val="TabeladesnoUMAR"/>
              <w:rPr>
                <w:lang w:eastAsia="sl-SI"/>
              </w:rPr>
            </w:pPr>
            <w:r w:rsidRPr="00205AE5">
              <w:rPr>
                <w:lang w:eastAsia="sl-SI"/>
              </w:rPr>
              <w:t>34,1</w:t>
            </w:r>
          </w:p>
        </w:tc>
        <w:tc>
          <w:tcPr>
            <w:tcW w:w="439" w:type="pct"/>
            <w:shd w:val="clear" w:color="auto" w:fill="auto"/>
            <w:noWrap/>
            <w:vAlign w:val="bottom"/>
            <w:hideMark/>
          </w:tcPr>
          <w:p w14:paraId="52AC6264" w14:textId="77777777" w:rsidR="00205AE5" w:rsidRPr="00205AE5" w:rsidRDefault="00205AE5" w:rsidP="0056749C">
            <w:pPr>
              <w:pStyle w:val="TabeladesnoUMAR"/>
              <w:rPr>
                <w:lang w:eastAsia="sl-SI"/>
              </w:rPr>
            </w:pPr>
            <w:r w:rsidRPr="00205AE5">
              <w:rPr>
                <w:lang w:eastAsia="sl-SI"/>
              </w:rPr>
              <w:t>34,1</w:t>
            </w:r>
          </w:p>
        </w:tc>
        <w:tc>
          <w:tcPr>
            <w:tcW w:w="439" w:type="pct"/>
            <w:shd w:val="clear" w:color="auto" w:fill="auto"/>
            <w:noWrap/>
            <w:vAlign w:val="bottom"/>
            <w:hideMark/>
          </w:tcPr>
          <w:p w14:paraId="3A4780E0" w14:textId="77777777" w:rsidR="00205AE5" w:rsidRPr="00205AE5" w:rsidRDefault="00205AE5" w:rsidP="0056749C">
            <w:pPr>
              <w:pStyle w:val="TabeladesnoUMAR"/>
              <w:rPr>
                <w:lang w:eastAsia="sl-SI"/>
              </w:rPr>
            </w:pPr>
            <w:r w:rsidRPr="00205AE5">
              <w:rPr>
                <w:lang w:eastAsia="sl-SI"/>
              </w:rPr>
              <w:t>35,9</w:t>
            </w:r>
          </w:p>
        </w:tc>
        <w:tc>
          <w:tcPr>
            <w:tcW w:w="439" w:type="pct"/>
            <w:shd w:val="clear" w:color="auto" w:fill="auto"/>
            <w:noWrap/>
            <w:vAlign w:val="bottom"/>
            <w:hideMark/>
          </w:tcPr>
          <w:p w14:paraId="6427F674" w14:textId="77777777" w:rsidR="00205AE5" w:rsidRPr="00205AE5" w:rsidRDefault="00205AE5" w:rsidP="0056749C">
            <w:pPr>
              <w:pStyle w:val="TabeladesnoUMAR"/>
              <w:rPr>
                <w:lang w:eastAsia="sl-SI"/>
              </w:rPr>
            </w:pPr>
            <w:r w:rsidRPr="00205AE5">
              <w:rPr>
                <w:lang w:eastAsia="sl-SI"/>
              </w:rPr>
              <w:t>35,6</w:t>
            </w:r>
          </w:p>
        </w:tc>
      </w:tr>
      <w:tr w:rsidR="00692C1B" w:rsidRPr="00205AE5" w14:paraId="2BBD70E3" w14:textId="77777777" w:rsidTr="00BB5BF2">
        <w:trPr>
          <w:trHeight w:val="264"/>
        </w:trPr>
        <w:tc>
          <w:tcPr>
            <w:tcW w:w="1486" w:type="pct"/>
            <w:shd w:val="clear" w:color="auto" w:fill="auto"/>
            <w:noWrap/>
            <w:vAlign w:val="bottom"/>
            <w:hideMark/>
          </w:tcPr>
          <w:p w14:paraId="201EE1A9" w14:textId="1D729191" w:rsidR="00205AE5" w:rsidRPr="00205AE5" w:rsidRDefault="00205AE5" w:rsidP="0056749C">
            <w:pPr>
              <w:pStyle w:val="TabelalevoUMAR"/>
              <w:rPr>
                <w:rFonts w:cs="Arial"/>
                <w:color w:val="000000"/>
                <w:lang w:eastAsia="sl-SI"/>
              </w:rPr>
            </w:pPr>
            <w:r w:rsidRPr="00205AE5">
              <w:rPr>
                <w:rFonts w:cs="Arial"/>
                <w:color w:val="000000"/>
                <w:lang w:eastAsia="sl-SI"/>
              </w:rPr>
              <w:t>Koeficient starostne odvisnosti star</w:t>
            </w:r>
            <w:r w:rsidR="006017F9">
              <w:rPr>
                <w:rFonts w:cs="Arial"/>
                <w:color w:val="000000"/>
                <w:lang w:eastAsia="sl-SI"/>
              </w:rPr>
              <w:t>ejši</w:t>
            </w:r>
            <w:r w:rsidRPr="00205AE5">
              <w:rPr>
                <w:rFonts w:cs="Arial"/>
                <w:color w:val="000000"/>
                <w:lang w:eastAsia="sl-SI"/>
              </w:rPr>
              <w:t>h, 65+</w:t>
            </w:r>
            <w:r w:rsidR="00C76063">
              <w:rPr>
                <w:rFonts w:cs="Arial"/>
                <w:color w:val="000000"/>
                <w:lang w:eastAsia="sl-SI"/>
              </w:rPr>
              <w:t xml:space="preserve"> </w:t>
            </w:r>
            <w:r w:rsidRPr="00205AE5">
              <w:rPr>
                <w:rFonts w:cs="Arial"/>
                <w:color w:val="000000"/>
                <w:lang w:eastAsia="sl-SI"/>
              </w:rPr>
              <w:t>/</w:t>
            </w:r>
            <w:r w:rsidR="00C76063">
              <w:rPr>
                <w:rFonts w:cs="Arial"/>
                <w:color w:val="000000"/>
                <w:lang w:eastAsia="sl-SI"/>
              </w:rPr>
              <w:t xml:space="preserve"> </w:t>
            </w:r>
            <w:r w:rsidRPr="00205AE5">
              <w:rPr>
                <w:rFonts w:cs="Arial"/>
                <w:color w:val="000000"/>
                <w:lang w:eastAsia="sl-SI"/>
              </w:rPr>
              <w:t>20</w:t>
            </w:r>
            <w:r w:rsidR="00B1170C">
              <w:rPr>
                <w:rFonts w:cs="Arial"/>
                <w:color w:val="000000"/>
                <w:lang w:eastAsia="sl-SI"/>
              </w:rPr>
              <w:t>–</w:t>
            </w:r>
            <w:r w:rsidRPr="00205AE5">
              <w:rPr>
                <w:rFonts w:cs="Arial"/>
                <w:color w:val="000000"/>
                <w:lang w:eastAsia="sl-SI"/>
              </w:rPr>
              <w:t>64</w:t>
            </w:r>
            <w:r w:rsidR="00C76063">
              <w:rPr>
                <w:rFonts w:cs="Arial"/>
                <w:color w:val="000000"/>
                <w:lang w:eastAsia="sl-SI"/>
              </w:rPr>
              <w:t xml:space="preserve"> * 100</w:t>
            </w:r>
          </w:p>
        </w:tc>
        <w:tc>
          <w:tcPr>
            <w:tcW w:w="439" w:type="pct"/>
            <w:shd w:val="clear" w:color="auto" w:fill="auto"/>
            <w:noWrap/>
            <w:vAlign w:val="bottom"/>
            <w:hideMark/>
          </w:tcPr>
          <w:p w14:paraId="5BC3CA2A" w14:textId="77777777" w:rsidR="00205AE5" w:rsidRPr="00205AE5" w:rsidRDefault="00205AE5" w:rsidP="0056749C">
            <w:pPr>
              <w:pStyle w:val="TabeladesnoUMAR"/>
              <w:rPr>
                <w:lang w:eastAsia="sl-SI"/>
              </w:rPr>
            </w:pPr>
            <w:r w:rsidRPr="00205AE5">
              <w:rPr>
                <w:lang w:eastAsia="sl-SI"/>
              </w:rPr>
              <w:t>39,2</w:t>
            </w:r>
          </w:p>
        </w:tc>
        <w:tc>
          <w:tcPr>
            <w:tcW w:w="439" w:type="pct"/>
            <w:shd w:val="clear" w:color="auto" w:fill="auto"/>
            <w:noWrap/>
            <w:vAlign w:val="bottom"/>
            <w:hideMark/>
          </w:tcPr>
          <w:p w14:paraId="012F88D3" w14:textId="77777777" w:rsidR="00205AE5" w:rsidRPr="00205AE5" w:rsidRDefault="00205AE5" w:rsidP="0056749C">
            <w:pPr>
              <w:pStyle w:val="TabeladesnoUMAR"/>
              <w:rPr>
                <w:lang w:eastAsia="sl-SI"/>
              </w:rPr>
            </w:pPr>
            <w:r w:rsidRPr="00205AE5">
              <w:rPr>
                <w:lang w:eastAsia="sl-SI"/>
              </w:rPr>
              <w:t>46,5</w:t>
            </w:r>
          </w:p>
        </w:tc>
        <w:tc>
          <w:tcPr>
            <w:tcW w:w="439" w:type="pct"/>
            <w:shd w:val="clear" w:color="auto" w:fill="auto"/>
            <w:noWrap/>
            <w:vAlign w:val="bottom"/>
            <w:hideMark/>
          </w:tcPr>
          <w:p w14:paraId="17A0B8C8" w14:textId="77777777" w:rsidR="00205AE5" w:rsidRPr="00205AE5" w:rsidRDefault="00205AE5" w:rsidP="0056749C">
            <w:pPr>
              <w:pStyle w:val="TabeladesnoUMAR"/>
              <w:rPr>
                <w:lang w:eastAsia="sl-SI"/>
              </w:rPr>
            </w:pPr>
            <w:r w:rsidRPr="00205AE5">
              <w:rPr>
                <w:lang w:eastAsia="sl-SI"/>
              </w:rPr>
              <w:t>54,4</w:t>
            </w:r>
          </w:p>
        </w:tc>
        <w:tc>
          <w:tcPr>
            <w:tcW w:w="439" w:type="pct"/>
            <w:shd w:val="clear" w:color="auto" w:fill="auto"/>
            <w:noWrap/>
            <w:vAlign w:val="bottom"/>
            <w:hideMark/>
          </w:tcPr>
          <w:p w14:paraId="0BDD97FE" w14:textId="77777777" w:rsidR="00205AE5" w:rsidRPr="00205AE5" w:rsidRDefault="00205AE5" w:rsidP="0056749C">
            <w:pPr>
              <w:pStyle w:val="TabeladesnoUMAR"/>
              <w:rPr>
                <w:lang w:eastAsia="sl-SI"/>
              </w:rPr>
            </w:pPr>
            <w:r w:rsidRPr="00205AE5">
              <w:rPr>
                <w:lang w:eastAsia="sl-SI"/>
              </w:rPr>
              <w:t>60,3</w:t>
            </w:r>
          </w:p>
        </w:tc>
        <w:tc>
          <w:tcPr>
            <w:tcW w:w="439" w:type="pct"/>
            <w:shd w:val="clear" w:color="auto" w:fill="auto"/>
            <w:noWrap/>
            <w:vAlign w:val="bottom"/>
            <w:hideMark/>
          </w:tcPr>
          <w:p w14:paraId="4F1CA741" w14:textId="77777777" w:rsidR="00205AE5" w:rsidRPr="00205AE5" w:rsidRDefault="00205AE5" w:rsidP="0056749C">
            <w:pPr>
              <w:pStyle w:val="TabeladesnoUMAR"/>
              <w:rPr>
                <w:lang w:eastAsia="sl-SI"/>
              </w:rPr>
            </w:pPr>
            <w:r w:rsidRPr="00205AE5">
              <w:rPr>
                <w:lang w:eastAsia="sl-SI"/>
              </w:rPr>
              <w:t>59,0</w:t>
            </w:r>
          </w:p>
        </w:tc>
        <w:tc>
          <w:tcPr>
            <w:tcW w:w="439" w:type="pct"/>
            <w:shd w:val="clear" w:color="auto" w:fill="auto"/>
            <w:noWrap/>
            <w:vAlign w:val="bottom"/>
            <w:hideMark/>
          </w:tcPr>
          <w:p w14:paraId="19493EBF" w14:textId="77777777" w:rsidR="00205AE5" w:rsidRPr="00205AE5" w:rsidRDefault="00205AE5" w:rsidP="0056749C">
            <w:pPr>
              <w:pStyle w:val="TabeladesnoUMAR"/>
              <w:rPr>
                <w:lang w:eastAsia="sl-SI"/>
              </w:rPr>
            </w:pPr>
            <w:r w:rsidRPr="00205AE5">
              <w:rPr>
                <w:lang w:eastAsia="sl-SI"/>
              </w:rPr>
              <w:t>58,8</w:t>
            </w:r>
          </w:p>
        </w:tc>
        <w:tc>
          <w:tcPr>
            <w:tcW w:w="439" w:type="pct"/>
            <w:shd w:val="clear" w:color="auto" w:fill="auto"/>
            <w:noWrap/>
            <w:vAlign w:val="bottom"/>
            <w:hideMark/>
          </w:tcPr>
          <w:p w14:paraId="29F8E42E" w14:textId="77777777" w:rsidR="00205AE5" w:rsidRPr="00205AE5" w:rsidRDefault="00205AE5" w:rsidP="0056749C">
            <w:pPr>
              <w:pStyle w:val="TabeladesnoUMAR"/>
              <w:rPr>
                <w:lang w:eastAsia="sl-SI"/>
              </w:rPr>
            </w:pPr>
            <w:r w:rsidRPr="00205AE5">
              <w:rPr>
                <w:lang w:eastAsia="sl-SI"/>
              </w:rPr>
              <w:t>62,9</w:t>
            </w:r>
          </w:p>
        </w:tc>
        <w:tc>
          <w:tcPr>
            <w:tcW w:w="439" w:type="pct"/>
            <w:shd w:val="clear" w:color="auto" w:fill="auto"/>
            <w:noWrap/>
            <w:vAlign w:val="bottom"/>
            <w:hideMark/>
          </w:tcPr>
          <w:p w14:paraId="4C56746E" w14:textId="77777777" w:rsidR="00205AE5" w:rsidRPr="00205AE5" w:rsidRDefault="00205AE5" w:rsidP="0056749C">
            <w:pPr>
              <w:pStyle w:val="TabeladesnoUMAR"/>
              <w:rPr>
                <w:lang w:eastAsia="sl-SI"/>
              </w:rPr>
            </w:pPr>
            <w:r w:rsidRPr="00205AE5">
              <w:rPr>
                <w:lang w:eastAsia="sl-SI"/>
              </w:rPr>
              <w:t>63,9</w:t>
            </w:r>
          </w:p>
        </w:tc>
      </w:tr>
      <w:tr w:rsidR="00692C1B" w:rsidRPr="00205AE5" w14:paraId="4BD17730" w14:textId="77777777" w:rsidTr="00BB5BF2">
        <w:trPr>
          <w:trHeight w:val="264"/>
        </w:trPr>
        <w:tc>
          <w:tcPr>
            <w:tcW w:w="1486" w:type="pct"/>
            <w:shd w:val="clear" w:color="auto" w:fill="auto"/>
            <w:noWrap/>
            <w:vAlign w:val="bottom"/>
            <w:hideMark/>
          </w:tcPr>
          <w:p w14:paraId="7648BEB6" w14:textId="77777777" w:rsidR="00C76063" w:rsidRDefault="00205AE5" w:rsidP="0056749C">
            <w:pPr>
              <w:pStyle w:val="TabelalevoUMAR"/>
              <w:rPr>
                <w:rFonts w:cs="Arial"/>
                <w:color w:val="000000"/>
                <w:lang w:eastAsia="sl-SI"/>
              </w:rPr>
            </w:pPr>
            <w:r w:rsidRPr="00205AE5">
              <w:rPr>
                <w:rFonts w:cs="Arial"/>
                <w:color w:val="000000"/>
                <w:lang w:eastAsia="sl-SI"/>
              </w:rPr>
              <w:t xml:space="preserve">Koeficient starostne odvisnosti, </w:t>
            </w:r>
          </w:p>
          <w:p w14:paraId="1DA06E89" w14:textId="1567BC68" w:rsidR="00205AE5" w:rsidRPr="00205AE5" w:rsidRDefault="006166E3" w:rsidP="0056749C">
            <w:pPr>
              <w:pStyle w:val="TabelalevoUMAR"/>
              <w:rPr>
                <w:rFonts w:cs="Arial"/>
                <w:color w:val="000000"/>
                <w:lang w:eastAsia="sl-SI"/>
              </w:rPr>
            </w:pPr>
            <w:r>
              <w:rPr>
                <w:rFonts w:cs="Arial"/>
                <w:color w:val="000000"/>
                <w:lang w:eastAsia="sl-SI"/>
              </w:rPr>
              <w:t>(</w:t>
            </w:r>
            <w:r w:rsidR="00C76063">
              <w:rPr>
                <w:rFonts w:cs="Arial"/>
                <w:color w:val="000000"/>
                <w:lang w:eastAsia="sl-SI"/>
              </w:rPr>
              <w:t>(</w:t>
            </w:r>
            <w:r w:rsidR="00205AE5" w:rsidRPr="00205AE5">
              <w:rPr>
                <w:rFonts w:cs="Arial"/>
                <w:color w:val="000000"/>
                <w:lang w:eastAsia="sl-SI"/>
              </w:rPr>
              <w:t>0</w:t>
            </w:r>
            <w:r w:rsidR="00B1170C">
              <w:rPr>
                <w:rFonts w:cs="Arial"/>
                <w:color w:val="000000"/>
                <w:lang w:eastAsia="sl-SI"/>
              </w:rPr>
              <w:t>–</w:t>
            </w:r>
            <w:r w:rsidR="00205AE5" w:rsidRPr="00205AE5">
              <w:rPr>
                <w:rFonts w:cs="Arial"/>
                <w:color w:val="000000"/>
                <w:lang w:eastAsia="sl-SI"/>
              </w:rPr>
              <w:t>19</w:t>
            </w:r>
            <w:r w:rsidR="00C76063">
              <w:rPr>
                <w:rFonts w:cs="Arial"/>
                <w:color w:val="000000"/>
                <w:lang w:eastAsia="sl-SI"/>
              </w:rPr>
              <w:t xml:space="preserve">) </w:t>
            </w:r>
            <w:r w:rsidR="00205AE5" w:rsidRPr="00205AE5">
              <w:rPr>
                <w:rFonts w:cs="Arial"/>
                <w:color w:val="000000"/>
                <w:lang w:eastAsia="sl-SI"/>
              </w:rPr>
              <w:t>+</w:t>
            </w:r>
            <w:r w:rsidR="00C76063">
              <w:rPr>
                <w:rFonts w:cs="Arial"/>
                <w:color w:val="000000"/>
                <w:lang w:eastAsia="sl-SI"/>
              </w:rPr>
              <w:t xml:space="preserve"> (</w:t>
            </w:r>
            <w:r w:rsidR="00205AE5" w:rsidRPr="00205AE5">
              <w:rPr>
                <w:rFonts w:cs="Arial"/>
                <w:color w:val="000000"/>
                <w:lang w:eastAsia="sl-SI"/>
              </w:rPr>
              <w:t>65+</w:t>
            </w:r>
            <w:r w:rsidR="00C76063">
              <w:rPr>
                <w:rFonts w:cs="Arial"/>
                <w:color w:val="000000"/>
                <w:lang w:eastAsia="sl-SI"/>
              </w:rPr>
              <w:t xml:space="preserve">)) </w:t>
            </w:r>
            <w:r w:rsidR="00205AE5" w:rsidRPr="00205AE5">
              <w:rPr>
                <w:rFonts w:cs="Arial"/>
                <w:color w:val="000000"/>
                <w:lang w:eastAsia="sl-SI"/>
              </w:rPr>
              <w:t>/</w:t>
            </w:r>
            <w:r w:rsidR="00C76063">
              <w:rPr>
                <w:rFonts w:cs="Arial"/>
                <w:color w:val="000000"/>
                <w:lang w:eastAsia="sl-SI"/>
              </w:rPr>
              <w:t xml:space="preserve"> (</w:t>
            </w:r>
            <w:r w:rsidR="00205AE5" w:rsidRPr="00205AE5">
              <w:rPr>
                <w:rFonts w:cs="Arial"/>
                <w:color w:val="000000"/>
                <w:lang w:eastAsia="sl-SI"/>
              </w:rPr>
              <w:t>20</w:t>
            </w:r>
            <w:r w:rsidR="00B1170C">
              <w:rPr>
                <w:rFonts w:cs="Arial"/>
                <w:color w:val="000000"/>
                <w:lang w:eastAsia="sl-SI"/>
              </w:rPr>
              <w:t>–</w:t>
            </w:r>
            <w:r w:rsidR="00205AE5" w:rsidRPr="00205AE5">
              <w:rPr>
                <w:rFonts w:cs="Arial"/>
                <w:color w:val="000000"/>
                <w:lang w:eastAsia="sl-SI"/>
              </w:rPr>
              <w:t>64</w:t>
            </w:r>
            <w:r w:rsidR="00C76063">
              <w:rPr>
                <w:rFonts w:cs="Arial"/>
                <w:color w:val="000000"/>
                <w:lang w:eastAsia="sl-SI"/>
              </w:rPr>
              <w:t>)</w:t>
            </w:r>
          </w:p>
        </w:tc>
        <w:tc>
          <w:tcPr>
            <w:tcW w:w="439" w:type="pct"/>
            <w:shd w:val="clear" w:color="auto" w:fill="auto"/>
            <w:noWrap/>
            <w:vAlign w:val="bottom"/>
            <w:hideMark/>
          </w:tcPr>
          <w:p w14:paraId="2EBD4ED8" w14:textId="77777777" w:rsidR="00205AE5" w:rsidRPr="00205AE5" w:rsidRDefault="00205AE5" w:rsidP="0056749C">
            <w:pPr>
              <w:pStyle w:val="TabeladesnoUMAR"/>
              <w:rPr>
                <w:lang w:eastAsia="sl-SI"/>
              </w:rPr>
            </w:pPr>
            <w:r w:rsidRPr="00205AE5">
              <w:rPr>
                <w:lang w:eastAsia="sl-SI"/>
              </w:rPr>
              <w:t>72,8</w:t>
            </w:r>
          </w:p>
        </w:tc>
        <w:tc>
          <w:tcPr>
            <w:tcW w:w="439" w:type="pct"/>
            <w:shd w:val="clear" w:color="auto" w:fill="auto"/>
            <w:noWrap/>
            <w:vAlign w:val="bottom"/>
            <w:hideMark/>
          </w:tcPr>
          <w:p w14:paraId="2F867C7A" w14:textId="77777777" w:rsidR="00205AE5" w:rsidRPr="00205AE5" w:rsidRDefault="00205AE5" w:rsidP="0056749C">
            <w:pPr>
              <w:pStyle w:val="TabeladesnoUMAR"/>
              <w:rPr>
                <w:lang w:eastAsia="sl-SI"/>
              </w:rPr>
            </w:pPr>
            <w:r w:rsidRPr="00205AE5">
              <w:rPr>
                <w:lang w:eastAsia="sl-SI"/>
              </w:rPr>
              <w:t>78,1</w:t>
            </w:r>
          </w:p>
        </w:tc>
        <w:tc>
          <w:tcPr>
            <w:tcW w:w="439" w:type="pct"/>
            <w:shd w:val="clear" w:color="auto" w:fill="auto"/>
            <w:noWrap/>
            <w:vAlign w:val="bottom"/>
            <w:hideMark/>
          </w:tcPr>
          <w:p w14:paraId="55621D26" w14:textId="77777777" w:rsidR="00205AE5" w:rsidRPr="00205AE5" w:rsidRDefault="00205AE5" w:rsidP="0056749C">
            <w:pPr>
              <w:pStyle w:val="TabeladesnoUMAR"/>
              <w:rPr>
                <w:lang w:eastAsia="sl-SI"/>
              </w:rPr>
            </w:pPr>
            <w:r w:rsidRPr="00205AE5">
              <w:rPr>
                <w:lang w:eastAsia="sl-SI"/>
              </w:rPr>
              <w:t>87,2</w:t>
            </w:r>
          </w:p>
        </w:tc>
        <w:tc>
          <w:tcPr>
            <w:tcW w:w="439" w:type="pct"/>
            <w:shd w:val="clear" w:color="auto" w:fill="auto"/>
            <w:noWrap/>
            <w:vAlign w:val="bottom"/>
            <w:hideMark/>
          </w:tcPr>
          <w:p w14:paraId="300529ED" w14:textId="77777777" w:rsidR="00205AE5" w:rsidRPr="00205AE5" w:rsidRDefault="00205AE5" w:rsidP="0056749C">
            <w:pPr>
              <w:pStyle w:val="TabeladesnoUMAR"/>
              <w:rPr>
                <w:lang w:eastAsia="sl-SI"/>
              </w:rPr>
            </w:pPr>
            <w:r w:rsidRPr="00205AE5">
              <w:rPr>
                <w:lang w:eastAsia="sl-SI"/>
              </w:rPr>
              <w:t>95,7</w:t>
            </w:r>
          </w:p>
        </w:tc>
        <w:tc>
          <w:tcPr>
            <w:tcW w:w="439" w:type="pct"/>
            <w:shd w:val="clear" w:color="auto" w:fill="auto"/>
            <w:noWrap/>
            <w:vAlign w:val="bottom"/>
            <w:hideMark/>
          </w:tcPr>
          <w:p w14:paraId="51262AE2" w14:textId="77777777" w:rsidR="00205AE5" w:rsidRPr="00205AE5" w:rsidRDefault="00205AE5" w:rsidP="0056749C">
            <w:pPr>
              <w:pStyle w:val="TabeladesnoUMAR"/>
              <w:rPr>
                <w:lang w:eastAsia="sl-SI"/>
              </w:rPr>
            </w:pPr>
            <w:r w:rsidRPr="00205AE5">
              <w:rPr>
                <w:lang w:eastAsia="sl-SI"/>
              </w:rPr>
              <w:t>93,1</w:t>
            </w:r>
          </w:p>
        </w:tc>
        <w:tc>
          <w:tcPr>
            <w:tcW w:w="439" w:type="pct"/>
            <w:shd w:val="clear" w:color="auto" w:fill="auto"/>
            <w:noWrap/>
            <w:vAlign w:val="bottom"/>
            <w:hideMark/>
          </w:tcPr>
          <w:p w14:paraId="40480C60" w14:textId="77777777" w:rsidR="00205AE5" w:rsidRPr="00205AE5" w:rsidRDefault="00205AE5" w:rsidP="0056749C">
            <w:pPr>
              <w:pStyle w:val="TabeladesnoUMAR"/>
              <w:rPr>
                <w:lang w:eastAsia="sl-SI"/>
              </w:rPr>
            </w:pPr>
            <w:r w:rsidRPr="00205AE5">
              <w:rPr>
                <w:lang w:eastAsia="sl-SI"/>
              </w:rPr>
              <w:t>92,9</w:t>
            </w:r>
          </w:p>
        </w:tc>
        <w:tc>
          <w:tcPr>
            <w:tcW w:w="439" w:type="pct"/>
            <w:shd w:val="clear" w:color="auto" w:fill="auto"/>
            <w:noWrap/>
            <w:vAlign w:val="bottom"/>
            <w:hideMark/>
          </w:tcPr>
          <w:p w14:paraId="270F8469" w14:textId="77777777" w:rsidR="00205AE5" w:rsidRPr="00205AE5" w:rsidRDefault="00205AE5" w:rsidP="0056749C">
            <w:pPr>
              <w:pStyle w:val="TabeladesnoUMAR"/>
              <w:rPr>
                <w:lang w:eastAsia="sl-SI"/>
              </w:rPr>
            </w:pPr>
            <w:r w:rsidRPr="00205AE5">
              <w:rPr>
                <w:lang w:eastAsia="sl-SI"/>
              </w:rPr>
              <w:t>98,8</w:t>
            </w:r>
          </w:p>
        </w:tc>
        <w:tc>
          <w:tcPr>
            <w:tcW w:w="439" w:type="pct"/>
            <w:shd w:val="clear" w:color="auto" w:fill="auto"/>
            <w:noWrap/>
            <w:vAlign w:val="bottom"/>
            <w:hideMark/>
          </w:tcPr>
          <w:p w14:paraId="19577934" w14:textId="77777777" w:rsidR="00205AE5" w:rsidRPr="00205AE5" w:rsidRDefault="00205AE5" w:rsidP="0056749C">
            <w:pPr>
              <w:pStyle w:val="TabeladesnoUMAR"/>
              <w:rPr>
                <w:lang w:eastAsia="sl-SI"/>
              </w:rPr>
            </w:pPr>
            <w:r w:rsidRPr="00205AE5">
              <w:rPr>
                <w:lang w:eastAsia="sl-SI"/>
              </w:rPr>
              <w:t>99,5</w:t>
            </w:r>
          </w:p>
        </w:tc>
      </w:tr>
      <w:tr w:rsidR="00692C1B" w:rsidRPr="00205AE5" w14:paraId="63285B41" w14:textId="77777777" w:rsidTr="00BB5BF2">
        <w:trPr>
          <w:trHeight w:val="264"/>
        </w:trPr>
        <w:tc>
          <w:tcPr>
            <w:tcW w:w="1486" w:type="pct"/>
            <w:shd w:val="clear" w:color="auto" w:fill="auto"/>
            <w:noWrap/>
            <w:vAlign w:val="bottom"/>
            <w:hideMark/>
          </w:tcPr>
          <w:p w14:paraId="149A8D1F" w14:textId="4AE64DCE" w:rsidR="00205AE5" w:rsidRPr="00205AE5" w:rsidRDefault="00205AE5" w:rsidP="0056749C">
            <w:pPr>
              <w:pStyle w:val="TabelalevoUMAR"/>
              <w:rPr>
                <w:rFonts w:cs="Arial"/>
                <w:color w:val="000000"/>
                <w:lang w:eastAsia="sl-SI"/>
              </w:rPr>
            </w:pPr>
            <w:r w:rsidRPr="00205AE5">
              <w:rPr>
                <w:rFonts w:cs="Arial"/>
                <w:color w:val="000000"/>
                <w:lang w:eastAsia="sl-SI"/>
              </w:rPr>
              <w:t>Delež prebivalcev starih 0</w:t>
            </w:r>
            <w:r w:rsidR="00B1170C">
              <w:rPr>
                <w:rFonts w:cs="Arial"/>
                <w:color w:val="000000"/>
                <w:lang w:eastAsia="sl-SI"/>
              </w:rPr>
              <w:t>–</w:t>
            </w:r>
            <w:r w:rsidRPr="00205AE5">
              <w:rPr>
                <w:rFonts w:cs="Arial"/>
                <w:color w:val="000000"/>
                <w:lang w:eastAsia="sl-SI"/>
              </w:rPr>
              <w:t>19 let</w:t>
            </w:r>
          </w:p>
        </w:tc>
        <w:tc>
          <w:tcPr>
            <w:tcW w:w="439" w:type="pct"/>
            <w:shd w:val="clear" w:color="auto" w:fill="auto"/>
            <w:noWrap/>
            <w:vAlign w:val="bottom"/>
            <w:hideMark/>
          </w:tcPr>
          <w:p w14:paraId="082492DD" w14:textId="77777777" w:rsidR="00205AE5" w:rsidRPr="00205AE5" w:rsidRDefault="00205AE5" w:rsidP="0056749C">
            <w:pPr>
              <w:pStyle w:val="TabeladesnoUMAR"/>
              <w:rPr>
                <w:lang w:eastAsia="sl-SI"/>
              </w:rPr>
            </w:pPr>
            <w:r w:rsidRPr="00205AE5">
              <w:rPr>
                <w:lang w:eastAsia="sl-SI"/>
              </w:rPr>
              <w:t>19,4</w:t>
            </w:r>
          </w:p>
        </w:tc>
        <w:tc>
          <w:tcPr>
            <w:tcW w:w="439" w:type="pct"/>
            <w:shd w:val="clear" w:color="auto" w:fill="auto"/>
            <w:noWrap/>
            <w:vAlign w:val="bottom"/>
            <w:hideMark/>
          </w:tcPr>
          <w:p w14:paraId="7E22EF63" w14:textId="77777777" w:rsidR="00205AE5" w:rsidRPr="00205AE5" w:rsidRDefault="00205AE5" w:rsidP="0056749C">
            <w:pPr>
              <w:pStyle w:val="TabeladesnoUMAR"/>
              <w:rPr>
                <w:lang w:eastAsia="sl-SI"/>
              </w:rPr>
            </w:pPr>
            <w:r w:rsidRPr="00205AE5">
              <w:rPr>
                <w:lang w:eastAsia="sl-SI"/>
              </w:rPr>
              <w:t>17,7</w:t>
            </w:r>
          </w:p>
        </w:tc>
        <w:tc>
          <w:tcPr>
            <w:tcW w:w="439" w:type="pct"/>
            <w:shd w:val="clear" w:color="auto" w:fill="auto"/>
            <w:noWrap/>
            <w:vAlign w:val="bottom"/>
            <w:hideMark/>
          </w:tcPr>
          <w:p w14:paraId="1D46B7A1" w14:textId="77777777" w:rsidR="00205AE5" w:rsidRPr="00205AE5" w:rsidRDefault="00205AE5" w:rsidP="0056749C">
            <w:pPr>
              <w:pStyle w:val="TabeladesnoUMAR"/>
              <w:rPr>
                <w:lang w:eastAsia="sl-SI"/>
              </w:rPr>
            </w:pPr>
            <w:r w:rsidRPr="00205AE5">
              <w:rPr>
                <w:lang w:eastAsia="sl-SI"/>
              </w:rPr>
              <w:t>17,5</w:t>
            </w:r>
          </w:p>
        </w:tc>
        <w:tc>
          <w:tcPr>
            <w:tcW w:w="439" w:type="pct"/>
            <w:shd w:val="clear" w:color="auto" w:fill="auto"/>
            <w:noWrap/>
            <w:vAlign w:val="bottom"/>
            <w:hideMark/>
          </w:tcPr>
          <w:p w14:paraId="3CFF6F55" w14:textId="77777777" w:rsidR="00205AE5" w:rsidRPr="00205AE5" w:rsidRDefault="00205AE5" w:rsidP="0056749C">
            <w:pPr>
              <w:pStyle w:val="TabeladesnoUMAR"/>
              <w:rPr>
                <w:lang w:eastAsia="sl-SI"/>
              </w:rPr>
            </w:pPr>
            <w:r w:rsidRPr="00205AE5">
              <w:rPr>
                <w:lang w:eastAsia="sl-SI"/>
              </w:rPr>
              <w:t>18,1</w:t>
            </w:r>
          </w:p>
        </w:tc>
        <w:tc>
          <w:tcPr>
            <w:tcW w:w="439" w:type="pct"/>
            <w:shd w:val="clear" w:color="auto" w:fill="auto"/>
            <w:noWrap/>
            <w:vAlign w:val="bottom"/>
            <w:hideMark/>
          </w:tcPr>
          <w:p w14:paraId="2E5EF389" w14:textId="77777777" w:rsidR="00205AE5" w:rsidRPr="00205AE5" w:rsidRDefault="00205AE5" w:rsidP="0056749C">
            <w:pPr>
              <w:pStyle w:val="TabeladesnoUMAR"/>
              <w:rPr>
                <w:lang w:eastAsia="sl-SI"/>
              </w:rPr>
            </w:pPr>
            <w:r w:rsidRPr="00205AE5">
              <w:rPr>
                <w:lang w:eastAsia="sl-SI"/>
              </w:rPr>
              <w:t>17,7</w:t>
            </w:r>
          </w:p>
        </w:tc>
        <w:tc>
          <w:tcPr>
            <w:tcW w:w="439" w:type="pct"/>
            <w:shd w:val="clear" w:color="auto" w:fill="auto"/>
            <w:noWrap/>
            <w:vAlign w:val="bottom"/>
            <w:hideMark/>
          </w:tcPr>
          <w:p w14:paraId="0BB19894" w14:textId="77777777" w:rsidR="00205AE5" w:rsidRPr="00205AE5" w:rsidRDefault="00205AE5" w:rsidP="0056749C">
            <w:pPr>
              <w:pStyle w:val="TabeladesnoUMAR"/>
              <w:rPr>
                <w:lang w:eastAsia="sl-SI"/>
              </w:rPr>
            </w:pPr>
            <w:r w:rsidRPr="00205AE5">
              <w:rPr>
                <w:lang w:eastAsia="sl-SI"/>
              </w:rPr>
              <w:t>17,7</w:t>
            </w:r>
          </w:p>
        </w:tc>
        <w:tc>
          <w:tcPr>
            <w:tcW w:w="439" w:type="pct"/>
            <w:shd w:val="clear" w:color="auto" w:fill="auto"/>
            <w:noWrap/>
            <w:vAlign w:val="bottom"/>
            <w:hideMark/>
          </w:tcPr>
          <w:p w14:paraId="37371605" w14:textId="77777777" w:rsidR="00205AE5" w:rsidRPr="00205AE5" w:rsidRDefault="00205AE5" w:rsidP="0056749C">
            <w:pPr>
              <w:pStyle w:val="TabeladesnoUMAR"/>
              <w:rPr>
                <w:lang w:eastAsia="sl-SI"/>
              </w:rPr>
            </w:pPr>
            <w:r w:rsidRPr="00205AE5">
              <w:rPr>
                <w:lang w:eastAsia="sl-SI"/>
              </w:rPr>
              <w:t>18,1</w:t>
            </w:r>
          </w:p>
        </w:tc>
        <w:tc>
          <w:tcPr>
            <w:tcW w:w="439" w:type="pct"/>
            <w:shd w:val="clear" w:color="auto" w:fill="auto"/>
            <w:noWrap/>
            <w:vAlign w:val="bottom"/>
            <w:hideMark/>
          </w:tcPr>
          <w:p w14:paraId="575496C1" w14:textId="77777777" w:rsidR="00205AE5" w:rsidRPr="00205AE5" w:rsidRDefault="00205AE5" w:rsidP="0056749C">
            <w:pPr>
              <w:pStyle w:val="TabeladesnoUMAR"/>
              <w:rPr>
                <w:lang w:eastAsia="sl-SI"/>
              </w:rPr>
            </w:pPr>
            <w:r w:rsidRPr="00205AE5">
              <w:rPr>
                <w:lang w:eastAsia="sl-SI"/>
              </w:rPr>
              <w:t>17,8</w:t>
            </w:r>
          </w:p>
        </w:tc>
      </w:tr>
      <w:tr w:rsidR="00692C1B" w:rsidRPr="00205AE5" w14:paraId="24E8E6D4" w14:textId="77777777" w:rsidTr="00BB5BF2">
        <w:trPr>
          <w:trHeight w:val="264"/>
        </w:trPr>
        <w:tc>
          <w:tcPr>
            <w:tcW w:w="1486" w:type="pct"/>
            <w:shd w:val="clear" w:color="auto" w:fill="auto"/>
            <w:noWrap/>
            <w:vAlign w:val="bottom"/>
            <w:hideMark/>
          </w:tcPr>
          <w:p w14:paraId="1E41B118" w14:textId="3DBF65A5" w:rsidR="00205AE5" w:rsidRPr="00205AE5" w:rsidRDefault="00205AE5" w:rsidP="0056749C">
            <w:pPr>
              <w:pStyle w:val="TabelalevoUMAR"/>
              <w:rPr>
                <w:rFonts w:cs="Arial"/>
                <w:color w:val="000000"/>
                <w:lang w:eastAsia="sl-SI"/>
              </w:rPr>
            </w:pPr>
            <w:r w:rsidRPr="00205AE5">
              <w:rPr>
                <w:rFonts w:cs="Arial"/>
                <w:color w:val="000000"/>
                <w:lang w:eastAsia="sl-SI"/>
              </w:rPr>
              <w:t>Delež prebivalcev starih 20</w:t>
            </w:r>
            <w:r w:rsidR="00B1170C">
              <w:rPr>
                <w:rFonts w:cs="Arial"/>
                <w:color w:val="000000"/>
                <w:lang w:eastAsia="sl-SI"/>
              </w:rPr>
              <w:t>–</w:t>
            </w:r>
            <w:r w:rsidRPr="00205AE5">
              <w:rPr>
                <w:rFonts w:cs="Arial"/>
                <w:color w:val="000000"/>
                <w:lang w:eastAsia="sl-SI"/>
              </w:rPr>
              <w:t xml:space="preserve">64 let </w:t>
            </w:r>
          </w:p>
        </w:tc>
        <w:tc>
          <w:tcPr>
            <w:tcW w:w="439" w:type="pct"/>
            <w:shd w:val="clear" w:color="auto" w:fill="auto"/>
            <w:noWrap/>
            <w:vAlign w:val="bottom"/>
            <w:hideMark/>
          </w:tcPr>
          <w:p w14:paraId="5933AF72" w14:textId="77777777" w:rsidR="00205AE5" w:rsidRPr="00205AE5" w:rsidRDefault="00205AE5" w:rsidP="0056749C">
            <w:pPr>
              <w:pStyle w:val="TabeladesnoUMAR"/>
              <w:rPr>
                <w:lang w:eastAsia="sl-SI"/>
              </w:rPr>
            </w:pPr>
            <w:r w:rsidRPr="00205AE5">
              <w:rPr>
                <w:lang w:eastAsia="sl-SI"/>
              </w:rPr>
              <w:t>57,9</w:t>
            </w:r>
          </w:p>
        </w:tc>
        <w:tc>
          <w:tcPr>
            <w:tcW w:w="439" w:type="pct"/>
            <w:shd w:val="clear" w:color="auto" w:fill="auto"/>
            <w:noWrap/>
            <w:vAlign w:val="bottom"/>
            <w:hideMark/>
          </w:tcPr>
          <w:p w14:paraId="2EDE9E6D" w14:textId="77777777" w:rsidR="00205AE5" w:rsidRPr="00205AE5" w:rsidRDefault="00205AE5" w:rsidP="0056749C">
            <w:pPr>
              <w:pStyle w:val="TabeladesnoUMAR"/>
              <w:rPr>
                <w:lang w:eastAsia="sl-SI"/>
              </w:rPr>
            </w:pPr>
            <w:r w:rsidRPr="00205AE5">
              <w:rPr>
                <w:lang w:eastAsia="sl-SI"/>
              </w:rPr>
              <w:t>56,2</w:t>
            </w:r>
          </w:p>
        </w:tc>
        <w:tc>
          <w:tcPr>
            <w:tcW w:w="439" w:type="pct"/>
            <w:shd w:val="clear" w:color="auto" w:fill="auto"/>
            <w:noWrap/>
            <w:vAlign w:val="bottom"/>
            <w:hideMark/>
          </w:tcPr>
          <w:p w14:paraId="2D7098A9" w14:textId="77777777" w:rsidR="00205AE5" w:rsidRPr="00205AE5" w:rsidRDefault="00205AE5" w:rsidP="0056749C">
            <w:pPr>
              <w:pStyle w:val="TabeladesnoUMAR"/>
              <w:rPr>
                <w:lang w:eastAsia="sl-SI"/>
              </w:rPr>
            </w:pPr>
            <w:r w:rsidRPr="00205AE5">
              <w:rPr>
                <w:lang w:eastAsia="sl-SI"/>
              </w:rPr>
              <w:t>53,5</w:t>
            </w:r>
          </w:p>
        </w:tc>
        <w:tc>
          <w:tcPr>
            <w:tcW w:w="439" w:type="pct"/>
            <w:shd w:val="clear" w:color="auto" w:fill="auto"/>
            <w:noWrap/>
            <w:vAlign w:val="bottom"/>
            <w:hideMark/>
          </w:tcPr>
          <w:p w14:paraId="539D55CC" w14:textId="77777777" w:rsidR="00205AE5" w:rsidRPr="00205AE5" w:rsidRDefault="00205AE5" w:rsidP="0056749C">
            <w:pPr>
              <w:pStyle w:val="TabeladesnoUMAR"/>
              <w:rPr>
                <w:lang w:eastAsia="sl-SI"/>
              </w:rPr>
            </w:pPr>
            <w:r w:rsidRPr="00205AE5">
              <w:rPr>
                <w:lang w:eastAsia="sl-SI"/>
              </w:rPr>
              <w:t>51,1</w:t>
            </w:r>
          </w:p>
        </w:tc>
        <w:tc>
          <w:tcPr>
            <w:tcW w:w="439" w:type="pct"/>
            <w:shd w:val="clear" w:color="auto" w:fill="auto"/>
            <w:noWrap/>
            <w:vAlign w:val="bottom"/>
            <w:hideMark/>
          </w:tcPr>
          <w:p w14:paraId="55F15B1C" w14:textId="77777777" w:rsidR="00205AE5" w:rsidRPr="00205AE5" w:rsidRDefault="00205AE5" w:rsidP="0056749C">
            <w:pPr>
              <w:pStyle w:val="TabeladesnoUMAR"/>
              <w:rPr>
                <w:lang w:eastAsia="sl-SI"/>
              </w:rPr>
            </w:pPr>
            <w:r w:rsidRPr="00205AE5">
              <w:rPr>
                <w:lang w:eastAsia="sl-SI"/>
              </w:rPr>
              <w:t>51,8</w:t>
            </w:r>
          </w:p>
        </w:tc>
        <w:tc>
          <w:tcPr>
            <w:tcW w:w="439" w:type="pct"/>
            <w:shd w:val="clear" w:color="auto" w:fill="auto"/>
            <w:noWrap/>
            <w:vAlign w:val="bottom"/>
            <w:hideMark/>
          </w:tcPr>
          <w:p w14:paraId="27411F82" w14:textId="77777777" w:rsidR="00205AE5" w:rsidRPr="00205AE5" w:rsidRDefault="00205AE5" w:rsidP="0056749C">
            <w:pPr>
              <w:pStyle w:val="TabeladesnoUMAR"/>
              <w:rPr>
                <w:lang w:eastAsia="sl-SI"/>
              </w:rPr>
            </w:pPr>
            <w:r w:rsidRPr="00205AE5">
              <w:rPr>
                <w:lang w:eastAsia="sl-SI"/>
              </w:rPr>
              <w:t>51,8</w:t>
            </w:r>
          </w:p>
        </w:tc>
        <w:tc>
          <w:tcPr>
            <w:tcW w:w="439" w:type="pct"/>
            <w:shd w:val="clear" w:color="auto" w:fill="auto"/>
            <w:noWrap/>
            <w:vAlign w:val="bottom"/>
            <w:hideMark/>
          </w:tcPr>
          <w:p w14:paraId="08628C01" w14:textId="77777777" w:rsidR="00205AE5" w:rsidRPr="00205AE5" w:rsidRDefault="00205AE5" w:rsidP="0056749C">
            <w:pPr>
              <w:pStyle w:val="TabeladesnoUMAR"/>
              <w:rPr>
                <w:lang w:eastAsia="sl-SI"/>
              </w:rPr>
            </w:pPr>
            <w:r w:rsidRPr="00205AE5">
              <w:rPr>
                <w:lang w:eastAsia="sl-SI"/>
              </w:rPr>
              <w:t>50,3</w:t>
            </w:r>
          </w:p>
        </w:tc>
        <w:tc>
          <w:tcPr>
            <w:tcW w:w="439" w:type="pct"/>
            <w:shd w:val="clear" w:color="auto" w:fill="auto"/>
            <w:noWrap/>
            <w:vAlign w:val="bottom"/>
            <w:hideMark/>
          </w:tcPr>
          <w:p w14:paraId="47A1CAAB" w14:textId="77777777" w:rsidR="00205AE5" w:rsidRPr="00205AE5" w:rsidRDefault="00205AE5" w:rsidP="0056749C">
            <w:pPr>
              <w:pStyle w:val="TabeladesnoUMAR"/>
              <w:rPr>
                <w:lang w:eastAsia="sl-SI"/>
              </w:rPr>
            </w:pPr>
            <w:r w:rsidRPr="00205AE5">
              <w:rPr>
                <w:lang w:eastAsia="sl-SI"/>
              </w:rPr>
              <w:t>50,1</w:t>
            </w:r>
          </w:p>
        </w:tc>
      </w:tr>
      <w:tr w:rsidR="00692C1B" w:rsidRPr="00205AE5" w14:paraId="1F5BD885" w14:textId="77777777" w:rsidTr="00BB5BF2">
        <w:trPr>
          <w:trHeight w:val="264"/>
        </w:trPr>
        <w:tc>
          <w:tcPr>
            <w:tcW w:w="1486" w:type="pct"/>
            <w:tcBorders>
              <w:bottom w:val="single" w:sz="4" w:space="0" w:color="auto"/>
            </w:tcBorders>
            <w:shd w:val="clear" w:color="auto" w:fill="auto"/>
            <w:noWrap/>
            <w:vAlign w:val="bottom"/>
            <w:hideMark/>
          </w:tcPr>
          <w:p w14:paraId="15EC0B4A" w14:textId="77777777" w:rsidR="00205AE5" w:rsidRPr="00205AE5" w:rsidRDefault="00205AE5" w:rsidP="0056749C">
            <w:pPr>
              <w:pStyle w:val="TabelalevoUMAR"/>
              <w:rPr>
                <w:rFonts w:cs="Arial"/>
                <w:color w:val="000000"/>
                <w:lang w:eastAsia="sl-SI"/>
              </w:rPr>
            </w:pPr>
            <w:r w:rsidRPr="00205AE5">
              <w:rPr>
                <w:rFonts w:cs="Arial"/>
                <w:color w:val="000000"/>
                <w:lang w:eastAsia="sl-SI"/>
              </w:rPr>
              <w:t>Delež prebivalcev starih 65+</w:t>
            </w:r>
          </w:p>
        </w:tc>
        <w:tc>
          <w:tcPr>
            <w:tcW w:w="439" w:type="pct"/>
            <w:tcBorders>
              <w:bottom w:val="single" w:sz="4" w:space="0" w:color="auto"/>
            </w:tcBorders>
            <w:shd w:val="clear" w:color="auto" w:fill="auto"/>
            <w:noWrap/>
            <w:vAlign w:val="bottom"/>
            <w:hideMark/>
          </w:tcPr>
          <w:p w14:paraId="1B79D92C" w14:textId="77777777" w:rsidR="00205AE5" w:rsidRPr="00205AE5" w:rsidRDefault="00205AE5" w:rsidP="0056749C">
            <w:pPr>
              <w:pStyle w:val="TabeladesnoUMAR"/>
              <w:rPr>
                <w:lang w:eastAsia="sl-SI"/>
              </w:rPr>
            </w:pPr>
            <w:r w:rsidRPr="00205AE5">
              <w:rPr>
                <w:lang w:eastAsia="sl-SI"/>
              </w:rPr>
              <w:t>22,7</w:t>
            </w:r>
          </w:p>
        </w:tc>
        <w:tc>
          <w:tcPr>
            <w:tcW w:w="439" w:type="pct"/>
            <w:tcBorders>
              <w:bottom w:val="single" w:sz="4" w:space="0" w:color="auto"/>
            </w:tcBorders>
            <w:shd w:val="clear" w:color="auto" w:fill="auto"/>
            <w:noWrap/>
            <w:vAlign w:val="bottom"/>
            <w:hideMark/>
          </w:tcPr>
          <w:p w14:paraId="2C8D24CF" w14:textId="77777777" w:rsidR="00205AE5" w:rsidRPr="00205AE5" w:rsidRDefault="00205AE5" w:rsidP="0056749C">
            <w:pPr>
              <w:pStyle w:val="TabeladesnoUMAR"/>
              <w:rPr>
                <w:lang w:eastAsia="sl-SI"/>
              </w:rPr>
            </w:pPr>
            <w:r w:rsidRPr="00205AE5">
              <w:rPr>
                <w:lang w:eastAsia="sl-SI"/>
              </w:rPr>
              <w:t>26,1</w:t>
            </w:r>
          </w:p>
        </w:tc>
        <w:tc>
          <w:tcPr>
            <w:tcW w:w="439" w:type="pct"/>
            <w:tcBorders>
              <w:bottom w:val="single" w:sz="4" w:space="0" w:color="auto"/>
            </w:tcBorders>
            <w:shd w:val="clear" w:color="auto" w:fill="auto"/>
            <w:noWrap/>
            <w:vAlign w:val="bottom"/>
            <w:hideMark/>
          </w:tcPr>
          <w:p w14:paraId="3DC9D90A" w14:textId="77777777" w:rsidR="00205AE5" w:rsidRPr="00205AE5" w:rsidRDefault="00205AE5" w:rsidP="0056749C">
            <w:pPr>
              <w:pStyle w:val="TabeladesnoUMAR"/>
              <w:rPr>
                <w:lang w:eastAsia="sl-SI"/>
              </w:rPr>
            </w:pPr>
            <w:r w:rsidRPr="00205AE5">
              <w:rPr>
                <w:lang w:eastAsia="sl-SI"/>
              </w:rPr>
              <w:t>29,1</w:t>
            </w:r>
          </w:p>
        </w:tc>
        <w:tc>
          <w:tcPr>
            <w:tcW w:w="439" w:type="pct"/>
            <w:tcBorders>
              <w:bottom w:val="single" w:sz="4" w:space="0" w:color="auto"/>
            </w:tcBorders>
            <w:shd w:val="clear" w:color="auto" w:fill="auto"/>
            <w:noWrap/>
            <w:vAlign w:val="bottom"/>
            <w:hideMark/>
          </w:tcPr>
          <w:p w14:paraId="0398252F" w14:textId="77777777" w:rsidR="00205AE5" w:rsidRPr="00205AE5" w:rsidRDefault="00205AE5" w:rsidP="0056749C">
            <w:pPr>
              <w:pStyle w:val="TabeladesnoUMAR"/>
              <w:rPr>
                <w:lang w:eastAsia="sl-SI"/>
              </w:rPr>
            </w:pPr>
            <w:r w:rsidRPr="00205AE5">
              <w:rPr>
                <w:lang w:eastAsia="sl-SI"/>
              </w:rPr>
              <w:t>30,8</w:t>
            </w:r>
          </w:p>
        </w:tc>
        <w:tc>
          <w:tcPr>
            <w:tcW w:w="439" w:type="pct"/>
            <w:tcBorders>
              <w:bottom w:val="single" w:sz="4" w:space="0" w:color="auto"/>
            </w:tcBorders>
            <w:shd w:val="clear" w:color="auto" w:fill="auto"/>
            <w:noWrap/>
            <w:vAlign w:val="bottom"/>
            <w:hideMark/>
          </w:tcPr>
          <w:p w14:paraId="7ED739A9" w14:textId="77777777" w:rsidR="00205AE5" w:rsidRPr="00205AE5" w:rsidRDefault="00205AE5" w:rsidP="0056749C">
            <w:pPr>
              <w:pStyle w:val="TabeladesnoUMAR"/>
              <w:rPr>
                <w:lang w:eastAsia="sl-SI"/>
              </w:rPr>
            </w:pPr>
            <w:r w:rsidRPr="00205AE5">
              <w:rPr>
                <w:lang w:eastAsia="sl-SI"/>
              </w:rPr>
              <w:t>30,5</w:t>
            </w:r>
          </w:p>
        </w:tc>
        <w:tc>
          <w:tcPr>
            <w:tcW w:w="439" w:type="pct"/>
            <w:tcBorders>
              <w:bottom w:val="single" w:sz="4" w:space="0" w:color="auto"/>
            </w:tcBorders>
            <w:shd w:val="clear" w:color="auto" w:fill="auto"/>
            <w:noWrap/>
            <w:vAlign w:val="bottom"/>
            <w:hideMark/>
          </w:tcPr>
          <w:p w14:paraId="21CC1470" w14:textId="77777777" w:rsidR="00205AE5" w:rsidRPr="00205AE5" w:rsidRDefault="00205AE5" w:rsidP="0056749C">
            <w:pPr>
              <w:pStyle w:val="TabeladesnoUMAR"/>
              <w:rPr>
                <w:lang w:eastAsia="sl-SI"/>
              </w:rPr>
            </w:pPr>
            <w:r w:rsidRPr="00205AE5">
              <w:rPr>
                <w:lang w:eastAsia="sl-SI"/>
              </w:rPr>
              <w:t>30,5</w:t>
            </w:r>
          </w:p>
        </w:tc>
        <w:tc>
          <w:tcPr>
            <w:tcW w:w="439" w:type="pct"/>
            <w:tcBorders>
              <w:bottom w:val="single" w:sz="4" w:space="0" w:color="auto"/>
            </w:tcBorders>
            <w:shd w:val="clear" w:color="auto" w:fill="auto"/>
            <w:noWrap/>
            <w:vAlign w:val="bottom"/>
            <w:hideMark/>
          </w:tcPr>
          <w:p w14:paraId="2D38D2E6" w14:textId="77777777" w:rsidR="00205AE5" w:rsidRPr="00205AE5" w:rsidRDefault="00205AE5" w:rsidP="0056749C">
            <w:pPr>
              <w:pStyle w:val="TabeladesnoUMAR"/>
              <w:rPr>
                <w:lang w:eastAsia="sl-SI"/>
              </w:rPr>
            </w:pPr>
            <w:r w:rsidRPr="00205AE5">
              <w:rPr>
                <w:lang w:eastAsia="sl-SI"/>
              </w:rPr>
              <w:t>31,6</w:t>
            </w:r>
          </w:p>
        </w:tc>
        <w:tc>
          <w:tcPr>
            <w:tcW w:w="439" w:type="pct"/>
            <w:tcBorders>
              <w:bottom w:val="single" w:sz="4" w:space="0" w:color="auto"/>
            </w:tcBorders>
            <w:shd w:val="clear" w:color="auto" w:fill="auto"/>
            <w:noWrap/>
            <w:vAlign w:val="bottom"/>
            <w:hideMark/>
          </w:tcPr>
          <w:p w14:paraId="77FF7C98" w14:textId="77777777" w:rsidR="00205AE5" w:rsidRPr="00205AE5" w:rsidRDefault="00205AE5" w:rsidP="0056749C">
            <w:pPr>
              <w:pStyle w:val="TabeladesnoUMAR"/>
              <w:rPr>
                <w:lang w:eastAsia="sl-SI"/>
              </w:rPr>
            </w:pPr>
            <w:r w:rsidRPr="00205AE5">
              <w:rPr>
                <w:lang w:eastAsia="sl-SI"/>
              </w:rPr>
              <w:t>32,1</w:t>
            </w:r>
          </w:p>
        </w:tc>
      </w:tr>
      <w:tr w:rsidR="00692C1B" w:rsidRPr="00205AE5" w14:paraId="2C9BF71A" w14:textId="77777777" w:rsidTr="00BB5BF2">
        <w:trPr>
          <w:trHeight w:val="44"/>
        </w:trPr>
        <w:tc>
          <w:tcPr>
            <w:tcW w:w="1486" w:type="pct"/>
            <w:tcBorders>
              <w:top w:val="single" w:sz="4" w:space="0" w:color="auto"/>
              <w:bottom w:val="single" w:sz="4" w:space="0" w:color="auto"/>
            </w:tcBorders>
            <w:shd w:val="clear" w:color="auto" w:fill="auto"/>
            <w:noWrap/>
            <w:vAlign w:val="bottom"/>
            <w:hideMark/>
          </w:tcPr>
          <w:p w14:paraId="218E1F30" w14:textId="77777777" w:rsidR="00205AE5" w:rsidRPr="00205AE5" w:rsidRDefault="00205AE5" w:rsidP="0056749C">
            <w:pPr>
              <w:pStyle w:val="TabelalevoUMAR"/>
              <w:rPr>
                <w:rFonts w:cs="Arial"/>
                <w:color w:val="000000"/>
                <w:lang w:eastAsia="sl-SI"/>
              </w:rPr>
            </w:pPr>
            <w:r w:rsidRPr="00205AE5">
              <w:rPr>
                <w:rFonts w:cs="Arial"/>
                <w:color w:val="000000"/>
                <w:lang w:eastAsia="sl-SI"/>
              </w:rPr>
              <w:t>Delež prebivalcev starih 80+</w:t>
            </w:r>
          </w:p>
        </w:tc>
        <w:tc>
          <w:tcPr>
            <w:tcW w:w="439" w:type="pct"/>
            <w:tcBorders>
              <w:top w:val="single" w:sz="4" w:space="0" w:color="auto"/>
              <w:bottom w:val="single" w:sz="4" w:space="0" w:color="auto"/>
            </w:tcBorders>
            <w:shd w:val="clear" w:color="auto" w:fill="auto"/>
            <w:noWrap/>
            <w:vAlign w:val="bottom"/>
            <w:hideMark/>
          </w:tcPr>
          <w:p w14:paraId="644F491B" w14:textId="77777777" w:rsidR="00205AE5" w:rsidRPr="00205AE5" w:rsidRDefault="00205AE5" w:rsidP="0056749C">
            <w:pPr>
              <w:pStyle w:val="TabeladesnoUMAR"/>
              <w:rPr>
                <w:lang w:eastAsia="sl-SI"/>
              </w:rPr>
            </w:pPr>
            <w:r w:rsidRPr="00205AE5">
              <w:rPr>
                <w:lang w:eastAsia="sl-SI"/>
              </w:rPr>
              <w:t>6,0</w:t>
            </w:r>
          </w:p>
        </w:tc>
        <w:tc>
          <w:tcPr>
            <w:tcW w:w="439" w:type="pct"/>
            <w:tcBorders>
              <w:top w:val="single" w:sz="4" w:space="0" w:color="auto"/>
              <w:bottom w:val="single" w:sz="4" w:space="0" w:color="auto"/>
            </w:tcBorders>
            <w:shd w:val="clear" w:color="auto" w:fill="auto"/>
            <w:noWrap/>
            <w:vAlign w:val="bottom"/>
            <w:hideMark/>
          </w:tcPr>
          <w:p w14:paraId="50B47463" w14:textId="77777777" w:rsidR="00205AE5" w:rsidRPr="00205AE5" w:rsidRDefault="00205AE5" w:rsidP="0056749C">
            <w:pPr>
              <w:pStyle w:val="TabeladesnoUMAR"/>
              <w:rPr>
                <w:lang w:eastAsia="sl-SI"/>
              </w:rPr>
            </w:pPr>
            <w:r w:rsidRPr="00205AE5">
              <w:rPr>
                <w:lang w:eastAsia="sl-SI"/>
              </w:rPr>
              <w:t>8,1</w:t>
            </w:r>
          </w:p>
        </w:tc>
        <w:tc>
          <w:tcPr>
            <w:tcW w:w="439" w:type="pct"/>
            <w:tcBorders>
              <w:top w:val="single" w:sz="4" w:space="0" w:color="auto"/>
              <w:bottom w:val="single" w:sz="4" w:space="0" w:color="auto"/>
            </w:tcBorders>
            <w:shd w:val="clear" w:color="auto" w:fill="auto"/>
            <w:noWrap/>
            <w:vAlign w:val="bottom"/>
            <w:hideMark/>
          </w:tcPr>
          <w:p w14:paraId="35E1E32A" w14:textId="77777777" w:rsidR="00205AE5" w:rsidRPr="00205AE5" w:rsidRDefault="00205AE5" w:rsidP="0056749C">
            <w:pPr>
              <w:pStyle w:val="TabeladesnoUMAR"/>
              <w:rPr>
                <w:lang w:eastAsia="sl-SI"/>
              </w:rPr>
            </w:pPr>
            <w:r w:rsidRPr="00205AE5">
              <w:rPr>
                <w:lang w:eastAsia="sl-SI"/>
              </w:rPr>
              <w:t>10,2</w:t>
            </w:r>
          </w:p>
        </w:tc>
        <w:tc>
          <w:tcPr>
            <w:tcW w:w="439" w:type="pct"/>
            <w:tcBorders>
              <w:top w:val="single" w:sz="4" w:space="0" w:color="auto"/>
              <w:bottom w:val="single" w:sz="4" w:space="0" w:color="auto"/>
            </w:tcBorders>
            <w:shd w:val="clear" w:color="auto" w:fill="auto"/>
            <w:noWrap/>
            <w:vAlign w:val="bottom"/>
            <w:hideMark/>
          </w:tcPr>
          <w:p w14:paraId="35D49CFF" w14:textId="77777777" w:rsidR="00205AE5" w:rsidRPr="00205AE5" w:rsidRDefault="00205AE5" w:rsidP="0056749C">
            <w:pPr>
              <w:pStyle w:val="TabeladesnoUMAR"/>
              <w:rPr>
                <w:lang w:eastAsia="sl-SI"/>
              </w:rPr>
            </w:pPr>
            <w:r w:rsidRPr="00205AE5">
              <w:rPr>
                <w:lang w:eastAsia="sl-SI"/>
              </w:rPr>
              <w:t>11,7</w:t>
            </w:r>
          </w:p>
        </w:tc>
        <w:tc>
          <w:tcPr>
            <w:tcW w:w="439" w:type="pct"/>
            <w:tcBorders>
              <w:top w:val="single" w:sz="4" w:space="0" w:color="auto"/>
              <w:bottom w:val="single" w:sz="4" w:space="0" w:color="auto"/>
            </w:tcBorders>
            <w:shd w:val="clear" w:color="auto" w:fill="auto"/>
            <w:noWrap/>
            <w:vAlign w:val="bottom"/>
            <w:hideMark/>
          </w:tcPr>
          <w:p w14:paraId="3897BB34" w14:textId="77777777" w:rsidR="00205AE5" w:rsidRPr="00205AE5" w:rsidRDefault="00205AE5" w:rsidP="0056749C">
            <w:pPr>
              <w:pStyle w:val="TabeladesnoUMAR"/>
              <w:rPr>
                <w:lang w:eastAsia="sl-SI"/>
              </w:rPr>
            </w:pPr>
            <w:r w:rsidRPr="00205AE5">
              <w:rPr>
                <w:lang w:eastAsia="sl-SI"/>
              </w:rPr>
              <w:t>13,4</w:t>
            </w:r>
          </w:p>
        </w:tc>
        <w:tc>
          <w:tcPr>
            <w:tcW w:w="439" w:type="pct"/>
            <w:tcBorders>
              <w:top w:val="single" w:sz="4" w:space="0" w:color="auto"/>
              <w:bottom w:val="single" w:sz="4" w:space="0" w:color="auto"/>
            </w:tcBorders>
            <w:shd w:val="clear" w:color="auto" w:fill="auto"/>
            <w:noWrap/>
            <w:vAlign w:val="bottom"/>
            <w:hideMark/>
          </w:tcPr>
          <w:p w14:paraId="2FF58831" w14:textId="77777777" w:rsidR="00205AE5" w:rsidRPr="00205AE5" w:rsidRDefault="00205AE5" w:rsidP="0056749C">
            <w:pPr>
              <w:pStyle w:val="TabeladesnoUMAR"/>
              <w:rPr>
                <w:lang w:eastAsia="sl-SI"/>
              </w:rPr>
            </w:pPr>
            <w:r w:rsidRPr="00205AE5">
              <w:rPr>
                <w:lang w:eastAsia="sl-SI"/>
              </w:rPr>
              <w:t>13,4</w:t>
            </w:r>
          </w:p>
        </w:tc>
        <w:tc>
          <w:tcPr>
            <w:tcW w:w="439" w:type="pct"/>
            <w:tcBorders>
              <w:top w:val="single" w:sz="4" w:space="0" w:color="auto"/>
              <w:bottom w:val="single" w:sz="4" w:space="0" w:color="auto"/>
            </w:tcBorders>
            <w:shd w:val="clear" w:color="auto" w:fill="auto"/>
            <w:noWrap/>
            <w:vAlign w:val="bottom"/>
            <w:hideMark/>
          </w:tcPr>
          <w:p w14:paraId="79769285" w14:textId="77777777" w:rsidR="00205AE5" w:rsidRPr="00205AE5" w:rsidRDefault="00205AE5" w:rsidP="0056749C">
            <w:pPr>
              <w:pStyle w:val="TabeladesnoUMAR"/>
              <w:rPr>
                <w:lang w:eastAsia="sl-SI"/>
              </w:rPr>
            </w:pPr>
            <w:r w:rsidRPr="00205AE5">
              <w:rPr>
                <w:lang w:eastAsia="sl-SI"/>
              </w:rPr>
              <w:t>13,1</w:t>
            </w:r>
          </w:p>
        </w:tc>
        <w:tc>
          <w:tcPr>
            <w:tcW w:w="439" w:type="pct"/>
            <w:tcBorders>
              <w:top w:val="single" w:sz="4" w:space="0" w:color="auto"/>
              <w:bottom w:val="single" w:sz="4" w:space="0" w:color="auto"/>
            </w:tcBorders>
            <w:shd w:val="clear" w:color="auto" w:fill="auto"/>
            <w:noWrap/>
            <w:vAlign w:val="bottom"/>
            <w:hideMark/>
          </w:tcPr>
          <w:p w14:paraId="54DFE689" w14:textId="77777777" w:rsidR="00205AE5" w:rsidRPr="00205AE5" w:rsidRDefault="00205AE5" w:rsidP="0056749C">
            <w:pPr>
              <w:pStyle w:val="TabeladesnoUMAR"/>
              <w:rPr>
                <w:lang w:eastAsia="sl-SI"/>
              </w:rPr>
            </w:pPr>
            <w:r w:rsidRPr="00205AE5">
              <w:rPr>
                <w:lang w:eastAsia="sl-SI"/>
              </w:rPr>
              <w:t>14,7</w:t>
            </w:r>
          </w:p>
        </w:tc>
      </w:tr>
    </w:tbl>
    <w:p w14:paraId="6816EA87" w14:textId="2BA218D3" w:rsidR="00174D04" w:rsidRDefault="00174D04" w:rsidP="00174D04">
      <w:pPr>
        <w:pStyle w:val="VirUMAR"/>
      </w:pPr>
      <w:r>
        <w:t xml:space="preserve">Vir: </w:t>
      </w:r>
      <w:r>
        <w:fldChar w:fldCharType="begin"/>
      </w:r>
      <w:r w:rsidR="00412DF0">
        <w:instrText xml:space="preserve"> ADDIN ZOTERO_ITEM CSL_CITATION {"citationID":"kcpDi1sJ","properties":{"custom":"Eurostat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fldChar w:fldCharType="separate"/>
      </w:r>
      <w:r w:rsidRPr="0041067E">
        <w:t>Eurostat (2023a)</w:t>
      </w:r>
      <w:r>
        <w:fldChar w:fldCharType="end"/>
      </w:r>
      <w:r>
        <w:t>.</w:t>
      </w:r>
    </w:p>
    <w:p w14:paraId="41364856" w14:textId="59E1581B" w:rsidR="00174D04" w:rsidRDefault="00174D04" w:rsidP="00174D04">
      <w:pPr>
        <w:pStyle w:val="VirUMAR"/>
      </w:pPr>
      <w:r>
        <w:t>Opomba: Navadna povprečja obdobij.</w:t>
      </w:r>
    </w:p>
    <w:p w14:paraId="5B4A1D4B" w14:textId="6A8AC110" w:rsidR="00D96DF1" w:rsidRPr="00B22116" w:rsidRDefault="00F801ED" w:rsidP="00D96DF1">
      <w:pPr>
        <w:pStyle w:val="Heading1"/>
      </w:pPr>
      <w:bookmarkStart w:id="32" w:name="_Ref138747969"/>
      <w:bookmarkStart w:id="33" w:name="_Toc146283012"/>
      <w:bookmarkStart w:id="34" w:name="_Hlk138074857"/>
      <w:r w:rsidRPr="00B22116">
        <w:lastRenderedPageBreak/>
        <w:t>Predstavitev predpostavk projekcij</w:t>
      </w:r>
      <w:bookmarkEnd w:id="32"/>
      <w:bookmarkEnd w:id="33"/>
    </w:p>
    <w:p w14:paraId="4552B6F0" w14:textId="334C285F" w:rsidR="000D324B" w:rsidRDefault="000D324B" w:rsidP="000D324B">
      <w:pPr>
        <w:pStyle w:val="BesediloUMAR"/>
      </w:pPr>
    </w:p>
    <w:p w14:paraId="0637FCFB" w14:textId="46A50B93" w:rsidR="00C44838" w:rsidRPr="000A6CB2" w:rsidRDefault="00C44838" w:rsidP="000A6CB2">
      <w:pPr>
        <w:pStyle w:val="BesediloUMAR"/>
        <w:rPr>
          <w:rStyle w:val="Emphasis"/>
          <w:i w:val="0"/>
          <w:iCs w:val="0"/>
        </w:rPr>
      </w:pPr>
      <w:r w:rsidRPr="000A6CB2">
        <w:rPr>
          <w:rStyle w:val="BoldpoudarekUMAR"/>
        </w:rPr>
        <w:t>Projekcije temeljijo na predpostavkah rodnosti</w:t>
      </w:r>
      <w:r w:rsidR="00D7508C" w:rsidRPr="000A6CB2">
        <w:rPr>
          <w:rStyle w:val="BoldpoudarekUMAR"/>
        </w:rPr>
        <w:t xml:space="preserve">, </w:t>
      </w:r>
      <w:r w:rsidRPr="000A6CB2">
        <w:rPr>
          <w:rStyle w:val="BoldpoudarekUMAR"/>
        </w:rPr>
        <w:t>umrljivosti in selitev.</w:t>
      </w:r>
      <w:r w:rsidRPr="000A6CB2">
        <w:rPr>
          <w:rStyle w:val="Emphasis"/>
          <w:i w:val="0"/>
          <w:iCs w:val="0"/>
        </w:rPr>
        <w:t xml:space="preserve"> Vsaka izmed </w:t>
      </w:r>
      <w:r w:rsidR="001D60B5">
        <w:rPr>
          <w:rStyle w:val="Emphasis"/>
          <w:i w:val="0"/>
          <w:iCs w:val="0"/>
        </w:rPr>
        <w:t>pred</w:t>
      </w:r>
      <w:r w:rsidRPr="000A6CB2">
        <w:rPr>
          <w:rStyle w:val="Emphasis"/>
          <w:i w:val="0"/>
          <w:iCs w:val="0"/>
        </w:rPr>
        <w:t xml:space="preserve">postavk je </w:t>
      </w:r>
      <w:r w:rsidR="0030223E" w:rsidRPr="000A6CB2">
        <w:rPr>
          <w:rStyle w:val="Emphasis"/>
          <w:i w:val="0"/>
          <w:iCs w:val="0"/>
        </w:rPr>
        <w:t xml:space="preserve">za obdobje projekcije </w:t>
      </w:r>
      <w:r w:rsidR="001D60B5">
        <w:rPr>
          <w:rStyle w:val="Emphasis"/>
          <w:i w:val="0"/>
          <w:iCs w:val="0"/>
        </w:rPr>
        <w:t>izračunana</w:t>
      </w:r>
      <w:r w:rsidR="001D60B5" w:rsidRPr="000A6CB2">
        <w:rPr>
          <w:rStyle w:val="Emphasis"/>
          <w:i w:val="0"/>
          <w:iCs w:val="0"/>
        </w:rPr>
        <w:t xml:space="preserve"> </w:t>
      </w:r>
      <w:r w:rsidR="0030223E" w:rsidRPr="000A6CB2">
        <w:rPr>
          <w:rStyle w:val="Emphasis"/>
          <w:i w:val="0"/>
          <w:iCs w:val="0"/>
        </w:rPr>
        <w:t>z določenimi statističnimi metodami</w:t>
      </w:r>
      <w:r w:rsidR="001D60B5" w:rsidRPr="001D60B5">
        <w:rPr>
          <w:rStyle w:val="Emphasis"/>
          <w:i w:val="0"/>
          <w:iCs w:val="0"/>
        </w:rPr>
        <w:t xml:space="preserve"> </w:t>
      </w:r>
      <w:r w:rsidR="001D60B5">
        <w:rPr>
          <w:rStyle w:val="Emphasis"/>
          <w:i w:val="0"/>
          <w:iCs w:val="0"/>
        </w:rPr>
        <w:t>(</w:t>
      </w:r>
      <w:r w:rsidR="00923212">
        <w:rPr>
          <w:rStyle w:val="Emphasis"/>
          <w:i w:val="0"/>
          <w:iCs w:val="0"/>
        </w:rPr>
        <w:t>za natančen opis</w:t>
      </w:r>
      <w:r w:rsidR="00A60CB4">
        <w:rPr>
          <w:rStyle w:val="Emphasis"/>
          <w:i w:val="0"/>
          <w:iCs w:val="0"/>
        </w:rPr>
        <w:t xml:space="preserve"> </w:t>
      </w:r>
      <w:r w:rsidR="001D60B5" w:rsidRPr="000A6CB2">
        <w:rPr>
          <w:rStyle w:val="Emphasis"/>
          <w:i w:val="0"/>
          <w:iCs w:val="0"/>
        </w:rPr>
        <w:t>gl.</w:t>
      </w:r>
      <w:r w:rsidR="00A60CB4">
        <w:rPr>
          <w:rStyle w:val="Emphasis"/>
          <w:i w:val="0"/>
          <w:iCs w:val="0"/>
        </w:rPr>
        <w:t xml:space="preserve"> v</w:t>
      </w:r>
      <w:r w:rsidR="001D60B5" w:rsidRPr="000A6CB2">
        <w:rPr>
          <w:rStyle w:val="Emphasis"/>
          <w:i w:val="0"/>
          <w:iCs w:val="0"/>
        </w:rPr>
        <w:t xml:space="preserve"> </w:t>
      </w:r>
      <w:r w:rsidR="001D60B5" w:rsidRPr="000A6CB2">
        <w:rPr>
          <w:rStyle w:val="Emphasis"/>
          <w:i w:val="0"/>
          <w:iCs w:val="0"/>
        </w:rPr>
        <w:fldChar w:fldCharType="begin"/>
      </w:r>
      <w:r w:rsidR="00412DF0">
        <w:rPr>
          <w:rStyle w:val="Emphasis"/>
          <w:i w:val="0"/>
          <w:iCs w:val="0"/>
        </w:rPr>
        <w:instrText xml:space="preserve"> ADDIN ZOTERO_ITEM CSL_CITATION {"citationID":"6E3TuEfx","properties":{"custom":"Eurostat, 2023","formattedCitation":"Eurostat, 2023","plainCitation":"Eurostat, 2023","noteIndex":0},"citationItems":[{"id":3755,"uris":["http://zotero.org/users/8040504/items/4QSF5FZ3"],"itemData":{"id":3755,"type":"document","publisher":"Eurostat","title":"Statisctics Explained. Population projections in the EU – methodology","URL":"https://ec.europa.eu/eurostat/statistics-explained/index.php?title=Population_projections_in_the_EU_-_methodology","author":[{"family":"Eurostat","given":""}],"issued":{"date-parts":[["2023"]]}}}],"schema":"https://github.com/citation-style-language/schema/raw/master/csl-citation.json"} </w:instrText>
      </w:r>
      <w:r w:rsidR="001D60B5" w:rsidRPr="000A6CB2">
        <w:rPr>
          <w:rStyle w:val="Emphasis"/>
          <w:i w:val="0"/>
          <w:iCs w:val="0"/>
        </w:rPr>
        <w:fldChar w:fldCharType="separate"/>
      </w:r>
      <w:r w:rsidR="001D60B5" w:rsidRPr="000A6CB2">
        <w:t>Eurostat, 2023</w:t>
      </w:r>
      <w:r w:rsidR="001D60B5" w:rsidRPr="000A6CB2">
        <w:rPr>
          <w:rStyle w:val="Emphasis"/>
          <w:i w:val="0"/>
          <w:iCs w:val="0"/>
        </w:rPr>
        <w:fldChar w:fldCharType="end"/>
      </w:r>
      <w:r w:rsidR="001D60B5">
        <w:rPr>
          <w:rStyle w:val="Emphasis"/>
          <w:i w:val="0"/>
          <w:iCs w:val="0"/>
        </w:rPr>
        <w:t>)</w:t>
      </w:r>
      <w:r w:rsidR="0030223E" w:rsidRPr="000A6CB2">
        <w:rPr>
          <w:rStyle w:val="Emphasis"/>
          <w:i w:val="0"/>
          <w:iCs w:val="0"/>
        </w:rPr>
        <w:t xml:space="preserve">, na tem mestu </w:t>
      </w:r>
      <w:r w:rsidR="001D60B5">
        <w:rPr>
          <w:rStyle w:val="Emphasis"/>
          <w:i w:val="0"/>
          <w:iCs w:val="0"/>
        </w:rPr>
        <w:t xml:space="preserve">pa </w:t>
      </w:r>
      <w:r w:rsidR="0030223E" w:rsidRPr="000A6CB2">
        <w:rPr>
          <w:rStyle w:val="Emphasis"/>
          <w:i w:val="0"/>
          <w:iCs w:val="0"/>
        </w:rPr>
        <w:t>na kratko opisujemo osnovne dejavnike predpostavk.</w:t>
      </w:r>
    </w:p>
    <w:p w14:paraId="31A3F62B" w14:textId="77777777" w:rsidR="00C44838" w:rsidRPr="000A6CB2" w:rsidRDefault="00C44838" w:rsidP="000A6CB2">
      <w:pPr>
        <w:pStyle w:val="BesediloUMAR"/>
        <w:rPr>
          <w:rStyle w:val="Emphasis"/>
          <w:i w:val="0"/>
          <w:iCs w:val="0"/>
          <w:highlight w:val="yellow"/>
        </w:rPr>
      </w:pPr>
    </w:p>
    <w:p w14:paraId="53D11BF5" w14:textId="7AD8FF07" w:rsidR="00505DE3" w:rsidRPr="000A6CB2" w:rsidRDefault="00175719" w:rsidP="000A6CB2">
      <w:pPr>
        <w:pStyle w:val="BesediloUMAR"/>
        <w:rPr>
          <w:rStyle w:val="Emphasis"/>
          <w:i w:val="0"/>
          <w:iCs w:val="0"/>
        </w:rPr>
      </w:pPr>
      <w:r w:rsidRPr="000A6CB2">
        <w:rPr>
          <w:rStyle w:val="BoldpoudarekUMAR"/>
        </w:rPr>
        <w:t>Celotna stopnja rodnosti</w:t>
      </w:r>
      <w:r w:rsidR="008D1BFD">
        <w:rPr>
          <w:rStyle w:val="BoldpoudarekUMAR"/>
        </w:rPr>
        <w:t>*</w:t>
      </w:r>
      <w:r w:rsidRPr="000A6CB2">
        <w:rPr>
          <w:rStyle w:val="BoldpoudarekUMAR"/>
        </w:rPr>
        <w:t xml:space="preserve"> je največja komponenta rasti </w:t>
      </w:r>
      <w:r w:rsidR="002546DA">
        <w:rPr>
          <w:rStyle w:val="BoldpoudarekUMAR"/>
        </w:rPr>
        <w:t xml:space="preserve">števila </w:t>
      </w:r>
      <w:r w:rsidRPr="000A6CB2">
        <w:rPr>
          <w:rStyle w:val="BoldpoudarekUMAR"/>
        </w:rPr>
        <w:t>prebival</w:t>
      </w:r>
      <w:r w:rsidR="002546DA">
        <w:rPr>
          <w:rStyle w:val="BoldpoudarekUMAR"/>
        </w:rPr>
        <w:t>cev</w:t>
      </w:r>
      <w:r w:rsidRPr="000A6CB2">
        <w:rPr>
          <w:rStyle w:val="BoldpoudarekUMAR"/>
        </w:rPr>
        <w:t>.</w:t>
      </w:r>
      <w:r w:rsidR="00E309F2" w:rsidRPr="000A6CB2">
        <w:rPr>
          <w:rStyle w:val="Emphasis"/>
          <w:i w:val="0"/>
          <w:iCs w:val="0"/>
        </w:rPr>
        <w:t xml:space="preserve"> </w:t>
      </w:r>
      <w:r w:rsidR="009E6681" w:rsidRPr="000A6CB2">
        <w:rPr>
          <w:rStyle w:val="Emphasis"/>
          <w:i w:val="0"/>
          <w:iCs w:val="0"/>
        </w:rPr>
        <w:t xml:space="preserve">Stopnja enostavnega obnavljanja </w:t>
      </w:r>
      <w:r w:rsidR="00B52965">
        <w:rPr>
          <w:rStyle w:val="Emphasis"/>
          <w:i w:val="0"/>
          <w:iCs w:val="0"/>
        </w:rPr>
        <w:t>števila prebivalcev</w:t>
      </w:r>
      <w:r w:rsidR="00B52965" w:rsidRPr="000A6CB2">
        <w:rPr>
          <w:rStyle w:val="Emphasis"/>
          <w:i w:val="0"/>
          <w:iCs w:val="0"/>
        </w:rPr>
        <w:t xml:space="preserve"> </w:t>
      </w:r>
      <w:r w:rsidR="00E309F2" w:rsidRPr="000A6CB2">
        <w:rPr>
          <w:rStyle w:val="Emphasis"/>
          <w:i w:val="0"/>
          <w:iCs w:val="0"/>
        </w:rPr>
        <w:t xml:space="preserve">v EU, kjer je stopnja umrljivosti </w:t>
      </w:r>
      <w:r w:rsidR="00AC3F89" w:rsidRPr="000A6CB2">
        <w:rPr>
          <w:rStyle w:val="Emphasis"/>
          <w:i w:val="0"/>
          <w:iCs w:val="0"/>
        </w:rPr>
        <w:t>otrok ni</w:t>
      </w:r>
      <w:r w:rsidR="00EB59DB" w:rsidRPr="000A6CB2">
        <w:rPr>
          <w:rStyle w:val="Emphasis"/>
          <w:i w:val="0"/>
          <w:iCs w:val="0"/>
        </w:rPr>
        <w:t>zk</w:t>
      </w:r>
      <w:r w:rsidR="00AC3F89" w:rsidRPr="000A6CB2">
        <w:rPr>
          <w:rStyle w:val="Emphasis"/>
          <w:i w:val="0"/>
          <w:iCs w:val="0"/>
        </w:rPr>
        <w:t>a, je ocenjena na 2,1. Ob t</w:t>
      </w:r>
      <w:r w:rsidR="00DA052A">
        <w:rPr>
          <w:rStyle w:val="Emphasis"/>
          <w:i w:val="0"/>
          <w:iCs w:val="0"/>
        </w:rPr>
        <w:t xml:space="preserve">aki celotni </w:t>
      </w:r>
      <w:r w:rsidR="00AC3F89" w:rsidRPr="000A6CB2">
        <w:rPr>
          <w:rStyle w:val="Emphasis"/>
          <w:i w:val="0"/>
          <w:iCs w:val="0"/>
        </w:rPr>
        <w:t>stopnji rodnosti</w:t>
      </w:r>
      <w:r w:rsidR="00EB59DB" w:rsidRPr="000A6CB2">
        <w:rPr>
          <w:rStyle w:val="Emphasis"/>
          <w:i w:val="0"/>
          <w:iCs w:val="0"/>
        </w:rPr>
        <w:t xml:space="preserve"> </w:t>
      </w:r>
      <w:r w:rsidR="00AC3F89" w:rsidRPr="000A6CB2">
        <w:rPr>
          <w:rStyle w:val="Emphasis"/>
          <w:i w:val="0"/>
          <w:iCs w:val="0"/>
        </w:rPr>
        <w:t xml:space="preserve">bi se </w:t>
      </w:r>
      <w:r w:rsidR="00B52965">
        <w:rPr>
          <w:rStyle w:val="Emphasis"/>
          <w:i w:val="0"/>
          <w:iCs w:val="0"/>
        </w:rPr>
        <w:t>število prebivalcev</w:t>
      </w:r>
      <w:r w:rsidR="00B52965" w:rsidRPr="000A6CB2">
        <w:rPr>
          <w:rStyle w:val="Emphasis"/>
          <w:i w:val="0"/>
          <w:iCs w:val="0"/>
        </w:rPr>
        <w:t xml:space="preserve"> </w:t>
      </w:r>
      <w:r w:rsidR="00AC3F89" w:rsidRPr="000A6CB2">
        <w:rPr>
          <w:rStyle w:val="Emphasis"/>
          <w:i w:val="0"/>
          <w:iCs w:val="0"/>
        </w:rPr>
        <w:t>obnavljalo</w:t>
      </w:r>
      <w:r w:rsidR="009E6681" w:rsidRPr="000A6CB2">
        <w:rPr>
          <w:rStyle w:val="Emphasis"/>
          <w:i w:val="0"/>
          <w:iCs w:val="0"/>
        </w:rPr>
        <w:t>,</w:t>
      </w:r>
      <w:r w:rsidR="00AC3F89" w:rsidRPr="000A6CB2">
        <w:rPr>
          <w:rStyle w:val="Emphasis"/>
          <w:i w:val="0"/>
          <w:iCs w:val="0"/>
        </w:rPr>
        <w:t xml:space="preserve"> ob nižjih stopnjah pa </w:t>
      </w:r>
      <w:r w:rsidR="00DA052A">
        <w:rPr>
          <w:rStyle w:val="Emphasis"/>
          <w:i w:val="0"/>
          <w:iCs w:val="0"/>
        </w:rPr>
        <w:t>bi bilo prebivalcev čedalje manj</w:t>
      </w:r>
      <w:r w:rsidR="00AC3F89" w:rsidRPr="000A6CB2">
        <w:rPr>
          <w:rStyle w:val="Emphasis"/>
          <w:i w:val="0"/>
          <w:iCs w:val="0"/>
        </w:rPr>
        <w:t xml:space="preserve">. </w:t>
      </w:r>
      <w:r w:rsidR="00741410">
        <w:rPr>
          <w:rStyle w:val="Emphasis"/>
          <w:i w:val="0"/>
          <w:iCs w:val="0"/>
        </w:rPr>
        <w:br/>
      </w:r>
      <w:r w:rsidR="00E36599" w:rsidRPr="000A6CB2">
        <w:rPr>
          <w:rStyle w:val="Emphasis"/>
          <w:i w:val="0"/>
          <w:iCs w:val="0"/>
        </w:rPr>
        <w:t>V projekciji je predpostavljeno</w:t>
      </w:r>
      <w:r w:rsidR="00E36599" w:rsidRPr="005D73FB">
        <w:rPr>
          <w:rStyle w:val="Emphasis"/>
          <w:i w:val="0"/>
          <w:iCs w:val="0"/>
        </w:rPr>
        <w:t>, da stopnja rodnosti za vse države teži k vrednosti 1,77,</w:t>
      </w:r>
      <w:r w:rsidR="002117F2" w:rsidRPr="007E0D40">
        <w:rPr>
          <w:rStyle w:val="Emphasis"/>
          <w:i w:val="0"/>
          <w:iCs w:val="0"/>
        </w:rPr>
        <w:t xml:space="preserve"> ki pa</w:t>
      </w:r>
      <w:r w:rsidR="00E36599" w:rsidRPr="005D73FB">
        <w:rPr>
          <w:rStyle w:val="Emphasis"/>
          <w:i w:val="0"/>
          <w:iCs w:val="0"/>
        </w:rPr>
        <w:t xml:space="preserve"> je do konca</w:t>
      </w:r>
      <w:r w:rsidR="002117F2" w:rsidRPr="007E0D40">
        <w:rPr>
          <w:rStyle w:val="Emphasis"/>
          <w:i w:val="0"/>
          <w:iCs w:val="0"/>
        </w:rPr>
        <w:t xml:space="preserve"> obdobja</w:t>
      </w:r>
      <w:r w:rsidR="00E36599" w:rsidRPr="005D73FB">
        <w:rPr>
          <w:rStyle w:val="Emphasis"/>
          <w:i w:val="0"/>
          <w:iCs w:val="0"/>
        </w:rPr>
        <w:t xml:space="preserve"> projekcije</w:t>
      </w:r>
      <w:r w:rsidR="00CB166A" w:rsidRPr="007E0D40">
        <w:rPr>
          <w:rStyle w:val="Emphasis"/>
          <w:i w:val="0"/>
          <w:iCs w:val="0"/>
        </w:rPr>
        <w:t xml:space="preserve"> </w:t>
      </w:r>
      <w:r w:rsidR="00071534" w:rsidRPr="007E0D40">
        <w:rPr>
          <w:rStyle w:val="Emphasis"/>
          <w:i w:val="0"/>
          <w:iCs w:val="0"/>
        </w:rPr>
        <w:t xml:space="preserve">(še) </w:t>
      </w:r>
      <w:r w:rsidR="00E36599" w:rsidRPr="005D73FB">
        <w:rPr>
          <w:rStyle w:val="Emphasis"/>
          <w:i w:val="0"/>
          <w:iCs w:val="0"/>
        </w:rPr>
        <w:t xml:space="preserve">ne doseže. Vrednost je </w:t>
      </w:r>
      <w:r w:rsidR="00C2482B">
        <w:rPr>
          <w:rStyle w:val="Emphasis"/>
          <w:i w:val="0"/>
          <w:iCs w:val="0"/>
        </w:rPr>
        <w:t>izračunana</w:t>
      </w:r>
      <w:r w:rsidR="00C2482B" w:rsidRPr="000A6CB2">
        <w:rPr>
          <w:rStyle w:val="Emphasis"/>
          <w:i w:val="0"/>
          <w:iCs w:val="0"/>
        </w:rPr>
        <w:t xml:space="preserve"> </w:t>
      </w:r>
      <w:r w:rsidR="00E36599" w:rsidRPr="000A6CB2">
        <w:rPr>
          <w:rStyle w:val="Emphasis"/>
          <w:i w:val="0"/>
          <w:iCs w:val="0"/>
        </w:rPr>
        <w:t>na podlagi držav z najvišjo stopnjo rodnosti v EU v ob</w:t>
      </w:r>
      <w:r w:rsidR="00A957EA" w:rsidRPr="000A6CB2">
        <w:rPr>
          <w:rStyle w:val="Emphasis"/>
          <w:i w:val="0"/>
          <w:iCs w:val="0"/>
        </w:rPr>
        <w:t>d</w:t>
      </w:r>
      <w:r w:rsidR="00E36599" w:rsidRPr="000A6CB2">
        <w:rPr>
          <w:rStyle w:val="Emphasis"/>
          <w:i w:val="0"/>
          <w:iCs w:val="0"/>
        </w:rPr>
        <w:t>obju 2016–2020 (</w:t>
      </w:r>
      <w:r w:rsidR="00EC7089" w:rsidRPr="000A6CB2">
        <w:rPr>
          <w:rStyle w:val="Emphasis"/>
          <w:i w:val="0"/>
          <w:iCs w:val="0"/>
        </w:rPr>
        <w:t xml:space="preserve">Irska, Švedska, Francija, Danska, Finska, Belgija, Nizozemska; leto </w:t>
      </w:r>
      <w:r w:rsidR="00E36599" w:rsidRPr="000A6CB2">
        <w:rPr>
          <w:rStyle w:val="Emphasis"/>
          <w:i w:val="0"/>
          <w:iCs w:val="0"/>
        </w:rPr>
        <w:t>2021 je izključeno zaradi neznanega vpliva covida-19 na rodnost).</w:t>
      </w:r>
    </w:p>
    <w:p w14:paraId="6367F2EF" w14:textId="25DFB8DB" w:rsidR="00E36599" w:rsidRPr="000A6CB2" w:rsidRDefault="00E36599" w:rsidP="000A6CB2">
      <w:pPr>
        <w:pStyle w:val="BesediloUMAR"/>
        <w:rPr>
          <w:rStyle w:val="Emphasis"/>
          <w:i w:val="0"/>
          <w:iCs w:val="0"/>
          <w:highlight w:val="yellow"/>
        </w:rPr>
      </w:pPr>
    </w:p>
    <w:p w14:paraId="12C370F8" w14:textId="48263877" w:rsidR="00E36599" w:rsidRPr="000A6CB2" w:rsidRDefault="00E36599" w:rsidP="000A6CB2">
      <w:pPr>
        <w:pStyle w:val="BesediloUMAR"/>
        <w:rPr>
          <w:rStyle w:val="Emphasis"/>
          <w:i w:val="0"/>
          <w:iCs w:val="0"/>
        </w:rPr>
      </w:pPr>
      <w:r w:rsidRPr="000A6CB2">
        <w:rPr>
          <w:rStyle w:val="BoldpoudarekUMAR"/>
        </w:rPr>
        <w:t>Vzorci umrljivosti so</w:t>
      </w:r>
      <w:r w:rsidR="00501CA8" w:rsidRPr="000A6CB2">
        <w:rPr>
          <w:rStyle w:val="BoldpoudarekUMAR"/>
        </w:rPr>
        <w:t xml:space="preserve"> bili od leta 2020 pod vplivom večje umrljivosti zaradi epidemije covida-19. </w:t>
      </w:r>
      <w:r w:rsidR="00501CA8" w:rsidRPr="000A6CB2">
        <w:t>T</w:t>
      </w:r>
      <w:r w:rsidR="00501CA8" w:rsidRPr="000A6CB2">
        <w:rPr>
          <w:rStyle w:val="Emphasis"/>
          <w:i w:val="0"/>
          <w:iCs w:val="0"/>
        </w:rPr>
        <w:t>a je vodila v krajšanje ali stagnacijo pričakovanega trajanja življenja</w:t>
      </w:r>
      <w:r w:rsidR="008C1FF3">
        <w:rPr>
          <w:rStyle w:val="Emphasis"/>
          <w:i w:val="0"/>
          <w:iCs w:val="0"/>
        </w:rPr>
        <w:t>*</w:t>
      </w:r>
      <w:r w:rsidR="008F1445" w:rsidRPr="000A6CB2">
        <w:rPr>
          <w:rStyle w:val="Emphasis"/>
          <w:i w:val="0"/>
          <w:iCs w:val="0"/>
        </w:rPr>
        <w:t xml:space="preserve"> v vseh državah EU, vendar ne </w:t>
      </w:r>
      <w:r w:rsidR="00124E4A">
        <w:rPr>
          <w:rStyle w:val="Emphasis"/>
          <w:i w:val="0"/>
          <w:iCs w:val="0"/>
        </w:rPr>
        <w:t>istočasno</w:t>
      </w:r>
      <w:r w:rsidR="008F1445" w:rsidRPr="000A6CB2">
        <w:rPr>
          <w:rStyle w:val="Emphasis"/>
          <w:i w:val="0"/>
          <w:iCs w:val="0"/>
        </w:rPr>
        <w:t xml:space="preserve"> in v enakem obsegu. </w:t>
      </w:r>
      <w:r w:rsidR="008F1445" w:rsidRPr="00540EA4">
        <w:rPr>
          <w:rStyle w:val="Emphasis"/>
          <w:i w:val="0"/>
          <w:iCs w:val="0"/>
        </w:rPr>
        <w:t xml:space="preserve">V projekciji je predpostavljeno, da se </w:t>
      </w:r>
      <w:r w:rsidR="008F5403" w:rsidRPr="00540EA4">
        <w:rPr>
          <w:rStyle w:val="Emphasis"/>
          <w:i w:val="0"/>
          <w:iCs w:val="0"/>
        </w:rPr>
        <w:t xml:space="preserve">v letih 2022 in 2023 stopnje umrljivosti še ne vrnejo na </w:t>
      </w:r>
      <w:r w:rsidR="00513CE5">
        <w:rPr>
          <w:rStyle w:val="Emphasis"/>
          <w:i w:val="0"/>
          <w:iCs w:val="0"/>
        </w:rPr>
        <w:t xml:space="preserve">nižje </w:t>
      </w:r>
      <w:r w:rsidR="008F5403" w:rsidRPr="00540EA4">
        <w:rPr>
          <w:rStyle w:val="Emphasis"/>
          <w:i w:val="0"/>
          <w:iCs w:val="0"/>
        </w:rPr>
        <w:t xml:space="preserve">stopnje pred epidemijo, </w:t>
      </w:r>
      <w:r w:rsidR="0034409D">
        <w:rPr>
          <w:rStyle w:val="Emphasis"/>
          <w:i w:val="0"/>
          <w:iCs w:val="0"/>
        </w:rPr>
        <w:t>ampak</w:t>
      </w:r>
      <w:r w:rsidR="008F5403" w:rsidRPr="00540EA4">
        <w:rPr>
          <w:rStyle w:val="Emphasis"/>
          <w:i w:val="0"/>
          <w:iCs w:val="0"/>
        </w:rPr>
        <w:t xml:space="preserve"> se to zgodi leta 2024.</w:t>
      </w:r>
      <w:r w:rsidR="00B953DE" w:rsidRPr="00540EA4">
        <w:rPr>
          <w:rStyle w:val="Emphasis"/>
          <w:i w:val="0"/>
          <w:iCs w:val="0"/>
        </w:rPr>
        <w:t xml:space="preserve"> </w:t>
      </w:r>
      <w:r w:rsidR="00E432E9" w:rsidRPr="00540EA4">
        <w:rPr>
          <w:rStyle w:val="Emphasis"/>
          <w:i w:val="0"/>
          <w:iCs w:val="0"/>
        </w:rPr>
        <w:t>Starostno specifične stopnje umrljivosti in stopnje</w:t>
      </w:r>
      <w:r w:rsidR="003A33D2" w:rsidRPr="00540EA4">
        <w:rPr>
          <w:rStyle w:val="Emphasis"/>
          <w:i w:val="0"/>
          <w:iCs w:val="0"/>
        </w:rPr>
        <w:t xml:space="preserve"> umrljivosti</w:t>
      </w:r>
      <w:r w:rsidR="00E432E9" w:rsidRPr="00540EA4">
        <w:rPr>
          <w:rStyle w:val="Emphasis"/>
          <w:i w:val="0"/>
          <w:iCs w:val="0"/>
        </w:rPr>
        <w:t xml:space="preserve"> po spol</w:t>
      </w:r>
      <w:r w:rsidR="003A33D2" w:rsidRPr="00540EA4">
        <w:rPr>
          <w:rStyle w:val="Emphasis"/>
          <w:i w:val="0"/>
          <w:iCs w:val="0"/>
        </w:rPr>
        <w:t>u</w:t>
      </w:r>
      <w:r w:rsidR="00E432E9" w:rsidRPr="00540EA4">
        <w:rPr>
          <w:rStyle w:val="Emphasis"/>
          <w:i w:val="0"/>
          <w:iCs w:val="0"/>
        </w:rPr>
        <w:t xml:space="preserve"> </w:t>
      </w:r>
      <w:r w:rsidR="003A33D2" w:rsidRPr="00540EA4">
        <w:rPr>
          <w:rStyle w:val="Emphasis"/>
          <w:i w:val="0"/>
          <w:iCs w:val="0"/>
        </w:rPr>
        <w:t>za leto 2022 so izvedene iz obdobja 2018–</w:t>
      </w:r>
      <w:r w:rsidR="003A33D2" w:rsidRPr="00923212">
        <w:rPr>
          <w:rStyle w:val="Emphasis"/>
          <w:i w:val="0"/>
          <w:iCs w:val="0"/>
        </w:rPr>
        <w:t>202</w:t>
      </w:r>
      <w:r w:rsidR="00061D1E" w:rsidRPr="00923212">
        <w:rPr>
          <w:rStyle w:val="Emphasis"/>
          <w:i w:val="0"/>
          <w:iCs w:val="0"/>
        </w:rPr>
        <w:t>1</w:t>
      </w:r>
      <w:r w:rsidR="00540EA4" w:rsidRPr="00923212">
        <w:rPr>
          <w:rStyle w:val="Emphasis"/>
          <w:i w:val="0"/>
          <w:iCs w:val="0"/>
        </w:rPr>
        <w:t>,</w:t>
      </w:r>
      <w:r w:rsidR="00540EA4" w:rsidRPr="00540EA4">
        <w:rPr>
          <w:rStyle w:val="Emphasis"/>
          <w:i w:val="0"/>
          <w:iCs w:val="0"/>
        </w:rPr>
        <w:t xml:space="preserve"> za leto 2024 sta osnova za izračun leti 2018 in 2019, </w:t>
      </w:r>
      <w:r w:rsidR="00E432E9" w:rsidRPr="00540EA4">
        <w:rPr>
          <w:rStyle w:val="Emphasis"/>
          <w:i w:val="0"/>
          <w:iCs w:val="0"/>
        </w:rPr>
        <w:t xml:space="preserve">za leto </w:t>
      </w:r>
      <w:r w:rsidR="00B953DE" w:rsidRPr="00540EA4">
        <w:rPr>
          <w:rStyle w:val="Emphasis"/>
          <w:i w:val="0"/>
          <w:iCs w:val="0"/>
        </w:rPr>
        <w:t xml:space="preserve">2023 pa </w:t>
      </w:r>
      <w:r w:rsidR="00E432E9" w:rsidRPr="00540EA4">
        <w:rPr>
          <w:rStyle w:val="Emphasis"/>
          <w:i w:val="0"/>
          <w:iCs w:val="0"/>
        </w:rPr>
        <w:t xml:space="preserve">so izračunane kot povprečje </w:t>
      </w:r>
      <w:r w:rsidR="00B953DE" w:rsidRPr="00540EA4">
        <w:rPr>
          <w:rStyle w:val="Emphasis"/>
          <w:i w:val="0"/>
          <w:iCs w:val="0"/>
        </w:rPr>
        <w:t>2022</w:t>
      </w:r>
      <w:r w:rsidR="00E432E9" w:rsidRPr="00540EA4">
        <w:rPr>
          <w:rStyle w:val="Emphasis"/>
          <w:i w:val="0"/>
          <w:iCs w:val="0"/>
        </w:rPr>
        <w:t xml:space="preserve"> in </w:t>
      </w:r>
      <w:r w:rsidR="00B953DE" w:rsidRPr="00540EA4">
        <w:rPr>
          <w:rStyle w:val="Emphasis"/>
          <w:i w:val="0"/>
          <w:iCs w:val="0"/>
        </w:rPr>
        <w:t>202</w:t>
      </w:r>
      <w:r w:rsidR="00E432E9" w:rsidRPr="00540EA4">
        <w:rPr>
          <w:rStyle w:val="Emphasis"/>
          <w:i w:val="0"/>
          <w:iCs w:val="0"/>
        </w:rPr>
        <w:t>4</w:t>
      </w:r>
      <w:r w:rsidR="00B953DE" w:rsidRPr="00540EA4">
        <w:rPr>
          <w:rStyle w:val="Emphasis"/>
          <w:i w:val="0"/>
          <w:iCs w:val="0"/>
        </w:rPr>
        <w:t>.</w:t>
      </w:r>
      <w:r w:rsidR="00AC0D89" w:rsidRPr="000A6CB2">
        <w:rPr>
          <w:rStyle w:val="Emphasis"/>
          <w:i w:val="0"/>
          <w:iCs w:val="0"/>
        </w:rPr>
        <w:t xml:space="preserve"> </w:t>
      </w:r>
      <w:r w:rsidR="004D5159" w:rsidRPr="003D44F9">
        <w:rPr>
          <w:rStyle w:val="Emphasis"/>
          <w:i w:val="0"/>
          <w:iCs w:val="0"/>
        </w:rPr>
        <w:t xml:space="preserve">V projekciji </w:t>
      </w:r>
      <w:r w:rsidR="00617740" w:rsidRPr="003D44F9">
        <w:rPr>
          <w:rStyle w:val="Emphasis"/>
          <w:i w:val="0"/>
          <w:iCs w:val="0"/>
        </w:rPr>
        <w:t>ni predpostavljeno, da bi covid-19 trajneje vplival na stopnje umrljivosti, te se</w:t>
      </w:r>
      <w:r w:rsidR="005D73FB" w:rsidRPr="007E0D40">
        <w:rPr>
          <w:rStyle w:val="Emphasis"/>
          <w:i w:val="0"/>
          <w:iCs w:val="0"/>
        </w:rPr>
        <w:t>, kot omenjeno,</w:t>
      </w:r>
      <w:r w:rsidR="00617740" w:rsidRPr="003D44F9">
        <w:rPr>
          <w:rStyle w:val="Emphasis"/>
          <w:i w:val="0"/>
          <w:iCs w:val="0"/>
        </w:rPr>
        <w:t xml:space="preserve"> leta 2024 vrnejo na stopnje pred epidemijo. </w:t>
      </w:r>
      <w:r w:rsidR="002B2BB1" w:rsidRPr="003D44F9">
        <w:rPr>
          <w:rStyle w:val="Emphasis"/>
          <w:i w:val="0"/>
          <w:iCs w:val="0"/>
        </w:rPr>
        <w:t xml:space="preserve">Predpostavljena je delna konvergenca </w:t>
      </w:r>
      <w:r w:rsidR="00C24AEA" w:rsidRPr="003D44F9">
        <w:rPr>
          <w:rStyle w:val="Emphasis"/>
          <w:i w:val="0"/>
          <w:iCs w:val="0"/>
        </w:rPr>
        <w:t xml:space="preserve">stopenj </w:t>
      </w:r>
      <w:r w:rsidR="002B2BB1" w:rsidRPr="003D44F9">
        <w:rPr>
          <w:rStyle w:val="Emphasis"/>
          <w:i w:val="0"/>
          <w:iCs w:val="0"/>
        </w:rPr>
        <w:t xml:space="preserve">k </w:t>
      </w:r>
      <w:r w:rsidR="00C24AEA" w:rsidRPr="003D44F9">
        <w:rPr>
          <w:rStyle w:val="Emphasis"/>
          <w:i w:val="0"/>
          <w:iCs w:val="0"/>
        </w:rPr>
        <w:t xml:space="preserve">stopnjam iz </w:t>
      </w:r>
      <w:r w:rsidR="005A0A6C" w:rsidRPr="003D44F9">
        <w:rPr>
          <w:rStyle w:val="Emphasis"/>
          <w:i w:val="0"/>
          <w:iCs w:val="0"/>
        </w:rPr>
        <w:t>skupni</w:t>
      </w:r>
      <w:r w:rsidR="00C24AEA" w:rsidRPr="003D44F9">
        <w:rPr>
          <w:rStyle w:val="Emphasis"/>
          <w:i w:val="0"/>
          <w:iCs w:val="0"/>
        </w:rPr>
        <w:t>h</w:t>
      </w:r>
      <w:r w:rsidR="005A0A6C" w:rsidRPr="003D44F9">
        <w:rPr>
          <w:rStyle w:val="Emphasis"/>
          <w:i w:val="0"/>
          <w:iCs w:val="0"/>
        </w:rPr>
        <w:t xml:space="preserve"> tablic umrljivosti </w:t>
      </w:r>
      <w:r w:rsidR="00C24AEA" w:rsidRPr="003D44F9">
        <w:rPr>
          <w:rStyle w:val="Emphasis"/>
          <w:i w:val="0"/>
          <w:iCs w:val="0"/>
        </w:rPr>
        <w:t>za</w:t>
      </w:r>
      <w:r w:rsidR="005A0A6C" w:rsidRPr="003D44F9">
        <w:rPr>
          <w:rStyle w:val="Emphasis"/>
          <w:i w:val="0"/>
          <w:iCs w:val="0"/>
        </w:rPr>
        <w:t xml:space="preserve"> EU</w:t>
      </w:r>
      <w:r w:rsidR="00DC7B56" w:rsidRPr="003D44F9">
        <w:rPr>
          <w:rStyle w:val="Emphasis"/>
          <w:i w:val="0"/>
          <w:iCs w:val="0"/>
        </w:rPr>
        <w:t>.</w:t>
      </w:r>
      <w:r w:rsidR="00DC7B56">
        <w:rPr>
          <w:rStyle w:val="Emphasis"/>
          <w:i w:val="0"/>
          <w:iCs w:val="0"/>
        </w:rPr>
        <w:t xml:space="preserve"> </w:t>
      </w:r>
      <w:r w:rsidR="00C24AEA">
        <w:rPr>
          <w:rStyle w:val="Emphasis"/>
          <w:i w:val="0"/>
          <w:iCs w:val="0"/>
        </w:rPr>
        <w:t xml:space="preserve">Predpostavljeni so </w:t>
      </w:r>
      <w:r w:rsidR="00DC7B56">
        <w:rPr>
          <w:rStyle w:val="Emphasis"/>
          <w:i w:val="0"/>
          <w:iCs w:val="0"/>
        </w:rPr>
        <w:t>višj</w:t>
      </w:r>
      <w:r w:rsidR="00C24AEA">
        <w:rPr>
          <w:rStyle w:val="Emphasis"/>
          <w:i w:val="0"/>
          <w:iCs w:val="0"/>
        </w:rPr>
        <w:t>i</w:t>
      </w:r>
      <w:r w:rsidR="00DC7B56">
        <w:rPr>
          <w:rStyle w:val="Emphasis"/>
          <w:i w:val="0"/>
          <w:iCs w:val="0"/>
        </w:rPr>
        <w:t xml:space="preserve"> padc</w:t>
      </w:r>
      <w:r w:rsidR="0034409D">
        <w:rPr>
          <w:rStyle w:val="Emphasis"/>
          <w:i w:val="0"/>
          <w:iCs w:val="0"/>
        </w:rPr>
        <w:t>i</w:t>
      </w:r>
      <w:r w:rsidR="00DC7B56">
        <w:rPr>
          <w:rStyle w:val="Emphasis"/>
          <w:i w:val="0"/>
          <w:iCs w:val="0"/>
        </w:rPr>
        <w:t xml:space="preserve"> umrljivosti v začetku obdobja in počasnejš</w:t>
      </w:r>
      <w:r w:rsidR="00C24AEA">
        <w:rPr>
          <w:rStyle w:val="Emphasis"/>
          <w:i w:val="0"/>
          <w:iCs w:val="0"/>
        </w:rPr>
        <w:t>i</w:t>
      </w:r>
      <w:r w:rsidR="00DC7B56">
        <w:rPr>
          <w:rStyle w:val="Emphasis"/>
          <w:i w:val="0"/>
          <w:iCs w:val="0"/>
        </w:rPr>
        <w:t xml:space="preserve"> na dol</w:t>
      </w:r>
      <w:r w:rsidR="00FF4D9D">
        <w:rPr>
          <w:rStyle w:val="Emphasis"/>
          <w:i w:val="0"/>
          <w:iCs w:val="0"/>
        </w:rPr>
        <w:t xml:space="preserve">gi rok. </w:t>
      </w:r>
    </w:p>
    <w:p w14:paraId="058C8B29" w14:textId="7BC36049" w:rsidR="00776F14" w:rsidRPr="000A6CB2" w:rsidRDefault="00776F14" w:rsidP="000A6CB2">
      <w:pPr>
        <w:pStyle w:val="BesediloUMAR"/>
        <w:rPr>
          <w:rStyle w:val="Emphasis"/>
          <w:i w:val="0"/>
          <w:iCs w:val="0"/>
          <w:highlight w:val="yellow"/>
        </w:rPr>
      </w:pPr>
    </w:p>
    <w:p w14:paraId="480F22AB" w14:textId="1C7430C5" w:rsidR="000D4405" w:rsidRDefault="000D109D" w:rsidP="000A6CB2">
      <w:pPr>
        <w:pStyle w:val="BesediloUMAR"/>
        <w:rPr>
          <w:rStyle w:val="Emphasis"/>
          <w:i w:val="0"/>
          <w:iCs w:val="0"/>
        </w:rPr>
      </w:pPr>
      <w:r w:rsidRPr="000A6CB2">
        <w:rPr>
          <w:rStyle w:val="BoldpoudarekUMAR"/>
        </w:rPr>
        <w:t xml:space="preserve">Selitve so najbolj </w:t>
      </w:r>
      <w:r w:rsidR="001A2103" w:rsidRPr="000A6CB2">
        <w:rPr>
          <w:rStyle w:val="BoldpoudarekUMAR"/>
        </w:rPr>
        <w:t>spremenljiva</w:t>
      </w:r>
      <w:r w:rsidRPr="000A6CB2">
        <w:rPr>
          <w:rStyle w:val="BoldpoudarekUMAR"/>
        </w:rPr>
        <w:t xml:space="preserve"> komponenta </w:t>
      </w:r>
      <w:r w:rsidR="00B52965">
        <w:rPr>
          <w:rStyle w:val="BoldpoudarekUMAR"/>
        </w:rPr>
        <w:t>gibanja števila pebivalcev</w:t>
      </w:r>
      <w:r w:rsidRPr="000A6CB2">
        <w:rPr>
          <w:rStyle w:val="BoldpoudarekUMAR"/>
        </w:rPr>
        <w:t xml:space="preserve">. </w:t>
      </w:r>
      <w:r w:rsidRPr="000A6CB2">
        <w:rPr>
          <w:rStyle w:val="Emphasis"/>
          <w:i w:val="0"/>
          <w:iCs w:val="0"/>
        </w:rPr>
        <w:t>Ravni priseljevanja in odseljevanja so ponavadi določene z v</w:t>
      </w:r>
      <w:r w:rsidR="005722DA" w:rsidRPr="000A6CB2">
        <w:rPr>
          <w:rStyle w:val="Emphasis"/>
          <w:i w:val="0"/>
          <w:iCs w:val="0"/>
        </w:rPr>
        <w:t>eč</w:t>
      </w:r>
      <w:r w:rsidRPr="000A6CB2">
        <w:rPr>
          <w:rStyle w:val="Emphasis"/>
          <w:i w:val="0"/>
          <w:iCs w:val="0"/>
        </w:rPr>
        <w:t xml:space="preserve"> dejavniki, ki </w:t>
      </w:r>
      <w:r w:rsidR="005722DA" w:rsidRPr="000A6CB2">
        <w:rPr>
          <w:rStyle w:val="Emphasis"/>
          <w:i w:val="0"/>
          <w:iCs w:val="0"/>
        </w:rPr>
        <w:t xml:space="preserve">pospešujejo </w:t>
      </w:r>
      <w:r w:rsidR="003B21CA">
        <w:rPr>
          <w:rStyle w:val="Emphasis"/>
          <w:i w:val="0"/>
          <w:iCs w:val="0"/>
        </w:rPr>
        <w:t>a</w:t>
      </w:r>
      <w:r w:rsidR="005722DA" w:rsidRPr="000A6CB2">
        <w:rPr>
          <w:rStyle w:val="Emphasis"/>
          <w:i w:val="0"/>
          <w:iCs w:val="0"/>
        </w:rPr>
        <w:t>li zavirajo selitve</w:t>
      </w:r>
      <w:r w:rsidR="001E5A1D" w:rsidRPr="000A6CB2">
        <w:rPr>
          <w:rStyle w:val="Emphasis"/>
          <w:i w:val="0"/>
          <w:iCs w:val="0"/>
        </w:rPr>
        <w:t xml:space="preserve">. Na ravni EU so </w:t>
      </w:r>
      <w:r w:rsidR="003B21CA">
        <w:rPr>
          <w:rStyle w:val="Emphasis"/>
          <w:i w:val="0"/>
          <w:iCs w:val="0"/>
        </w:rPr>
        <w:t xml:space="preserve">bili </w:t>
      </w:r>
      <w:r w:rsidR="001E5A1D" w:rsidRPr="000A6CB2">
        <w:rPr>
          <w:rStyle w:val="Emphasis"/>
          <w:i w:val="0"/>
          <w:iCs w:val="0"/>
        </w:rPr>
        <w:t>to zadnja desetletja finančna in dolžniška kriza, vojna v A</w:t>
      </w:r>
      <w:r w:rsidR="008F63A4" w:rsidRPr="000A6CB2">
        <w:rPr>
          <w:rStyle w:val="Emphasis"/>
          <w:i w:val="0"/>
          <w:iCs w:val="0"/>
        </w:rPr>
        <w:t>f</w:t>
      </w:r>
      <w:r w:rsidR="001E5A1D" w:rsidRPr="000A6CB2">
        <w:rPr>
          <w:rStyle w:val="Emphasis"/>
          <w:i w:val="0"/>
          <w:iCs w:val="0"/>
        </w:rPr>
        <w:t>ganistanu in Siriji, vpliv ukrepov za zajezitev epidemije covida-19</w:t>
      </w:r>
      <w:r w:rsidR="00D53CA0" w:rsidRPr="000A6CB2">
        <w:rPr>
          <w:rStyle w:val="Emphasis"/>
          <w:i w:val="0"/>
          <w:iCs w:val="0"/>
        </w:rPr>
        <w:t>, zadnje leto pa vojna v Ukrajini. V prihodnje se pričakuje, da bodo velik dejavnik globalnih selitev podnebne spremembe.</w:t>
      </w:r>
      <w:r w:rsidR="003B21CA">
        <w:rPr>
          <w:rStyle w:val="Emphasis"/>
          <w:i w:val="0"/>
          <w:iCs w:val="0"/>
        </w:rPr>
        <w:t xml:space="preserve"> </w:t>
      </w:r>
      <w:r w:rsidR="00D106CB" w:rsidRPr="000A6CB2">
        <w:rPr>
          <w:rStyle w:val="Emphasis"/>
          <w:i w:val="0"/>
          <w:iCs w:val="0"/>
        </w:rPr>
        <w:t xml:space="preserve">Priselitve so </w:t>
      </w:r>
      <w:r w:rsidR="005722DA" w:rsidRPr="000A6CB2">
        <w:rPr>
          <w:rStyle w:val="Emphasis"/>
          <w:i w:val="0"/>
          <w:iCs w:val="0"/>
        </w:rPr>
        <w:t xml:space="preserve">v projekciji </w:t>
      </w:r>
      <w:r w:rsidR="00D106CB" w:rsidRPr="000A6CB2">
        <w:rPr>
          <w:rStyle w:val="Emphasis"/>
          <w:i w:val="0"/>
          <w:iCs w:val="0"/>
        </w:rPr>
        <w:t>izvedene iz treh komponent</w:t>
      </w:r>
      <w:r w:rsidR="00CB0951" w:rsidRPr="000A6CB2">
        <w:rPr>
          <w:rStyle w:val="Emphasis"/>
          <w:i w:val="0"/>
          <w:iCs w:val="0"/>
        </w:rPr>
        <w:t>: iz preteklih trendov,</w:t>
      </w:r>
      <w:r w:rsidR="00AC73D9">
        <w:rPr>
          <w:rStyle w:val="Emphasis"/>
          <w:i w:val="0"/>
          <w:iCs w:val="0"/>
        </w:rPr>
        <w:t xml:space="preserve"> </w:t>
      </w:r>
      <w:r w:rsidR="00CB0951" w:rsidRPr="000A6CB2">
        <w:rPr>
          <w:rStyle w:val="Emphasis"/>
          <w:i w:val="0"/>
          <w:iCs w:val="0"/>
        </w:rPr>
        <w:t xml:space="preserve">ki pa bodo konvergirali </w:t>
      </w:r>
      <w:r w:rsidR="009C5C77" w:rsidRPr="000A6CB2">
        <w:rPr>
          <w:rStyle w:val="Emphasis"/>
          <w:i w:val="0"/>
          <w:iCs w:val="0"/>
        </w:rPr>
        <w:t>k ravni</w:t>
      </w:r>
      <w:r w:rsidR="00295E4D" w:rsidRPr="000A6CB2">
        <w:rPr>
          <w:rStyle w:val="Emphasis"/>
          <w:i w:val="0"/>
          <w:iCs w:val="0"/>
        </w:rPr>
        <w:t>, ki jo predstavlja</w:t>
      </w:r>
      <w:r w:rsidR="008F63A4" w:rsidRPr="000A6CB2">
        <w:rPr>
          <w:rStyle w:val="Emphasis"/>
          <w:i w:val="0"/>
          <w:iCs w:val="0"/>
        </w:rPr>
        <w:t xml:space="preserve"> delež države v celotnem prebivalstvu EU</w:t>
      </w:r>
      <w:r w:rsidR="00DC5FC2" w:rsidRPr="000A6CB2">
        <w:rPr>
          <w:rStyle w:val="Emphasis"/>
          <w:i w:val="0"/>
          <w:iCs w:val="0"/>
        </w:rPr>
        <w:t xml:space="preserve">, </w:t>
      </w:r>
      <w:r w:rsidR="003B21CA">
        <w:rPr>
          <w:rStyle w:val="Emphasis"/>
          <w:i w:val="0"/>
          <w:iCs w:val="0"/>
        </w:rPr>
        <w:t xml:space="preserve">učinka </w:t>
      </w:r>
      <w:r w:rsidR="004915CC">
        <w:rPr>
          <w:rStyle w:val="Emphasis"/>
          <w:i w:val="0"/>
          <w:iCs w:val="0"/>
        </w:rPr>
        <w:t>zmanjševanja števila</w:t>
      </w:r>
      <w:r w:rsidR="00B632A3" w:rsidRPr="000A6CB2">
        <w:rPr>
          <w:rStyle w:val="Emphasis"/>
          <w:i w:val="0"/>
          <w:iCs w:val="0"/>
        </w:rPr>
        <w:t xml:space="preserve"> delovno sposobnih, kjer </w:t>
      </w:r>
      <w:r w:rsidR="00D363D1" w:rsidRPr="000A6CB2">
        <w:rPr>
          <w:rStyle w:val="Emphasis"/>
          <w:i w:val="0"/>
          <w:iCs w:val="0"/>
        </w:rPr>
        <w:t>se upošteva, da se število priseljenih poveča za 10 %</w:t>
      </w:r>
      <w:r w:rsidR="00DC5FC2" w:rsidRPr="000A6CB2">
        <w:rPr>
          <w:rStyle w:val="Emphasis"/>
          <w:i w:val="0"/>
          <w:iCs w:val="0"/>
        </w:rPr>
        <w:t xml:space="preserve"> </w:t>
      </w:r>
      <w:r w:rsidR="002D29B8" w:rsidRPr="000A6CB2">
        <w:rPr>
          <w:rStyle w:val="Emphasis"/>
          <w:i w:val="0"/>
          <w:iCs w:val="0"/>
        </w:rPr>
        <w:t>zmanjšanja</w:t>
      </w:r>
      <w:r w:rsidR="00B632A3" w:rsidRPr="000A6CB2">
        <w:rPr>
          <w:rStyle w:val="Emphasis"/>
          <w:i w:val="0"/>
          <w:iCs w:val="0"/>
        </w:rPr>
        <w:t xml:space="preserve"> števila prebivalcev v starostni skupini 15–64 let</w:t>
      </w:r>
      <w:r w:rsidR="00564C7E" w:rsidRPr="000A6CB2">
        <w:rPr>
          <w:rStyle w:val="Emphasis"/>
          <w:i w:val="0"/>
          <w:iCs w:val="0"/>
        </w:rPr>
        <w:t xml:space="preserve">, za leto 2022 in 2023 pa </w:t>
      </w:r>
      <w:r w:rsidR="00D363D1" w:rsidRPr="000A6CB2">
        <w:rPr>
          <w:rStyle w:val="Emphasis"/>
          <w:i w:val="0"/>
          <w:iCs w:val="0"/>
        </w:rPr>
        <w:t>je</w:t>
      </w:r>
      <w:r w:rsidR="00564C7E" w:rsidRPr="000A6CB2">
        <w:rPr>
          <w:rStyle w:val="Emphasis"/>
          <w:i w:val="0"/>
          <w:iCs w:val="0"/>
        </w:rPr>
        <w:t xml:space="preserve"> predpostavlj</w:t>
      </w:r>
      <w:r w:rsidR="00D363D1" w:rsidRPr="000A6CB2">
        <w:rPr>
          <w:rStyle w:val="Emphasis"/>
          <w:i w:val="0"/>
          <w:iCs w:val="0"/>
        </w:rPr>
        <w:t>e</w:t>
      </w:r>
      <w:r w:rsidR="00564C7E" w:rsidRPr="000A6CB2">
        <w:rPr>
          <w:rStyle w:val="Emphasis"/>
          <w:i w:val="0"/>
          <w:iCs w:val="0"/>
        </w:rPr>
        <w:t xml:space="preserve">no </w:t>
      </w:r>
      <w:r w:rsidR="002D29B8" w:rsidRPr="000A6CB2">
        <w:rPr>
          <w:rStyle w:val="Emphasis"/>
          <w:i w:val="0"/>
          <w:iCs w:val="0"/>
        </w:rPr>
        <w:t>priseljevanje</w:t>
      </w:r>
      <w:r w:rsidR="00564C7E" w:rsidRPr="000A6CB2">
        <w:rPr>
          <w:rStyle w:val="Emphasis"/>
          <w:i w:val="0"/>
          <w:iCs w:val="0"/>
        </w:rPr>
        <w:t xml:space="preserve"> ukrajinskih beguncev pod začasno zaščito. </w:t>
      </w:r>
      <w:r w:rsidR="000D4405" w:rsidRPr="000A6CB2">
        <w:rPr>
          <w:rStyle w:val="Emphasis"/>
          <w:i w:val="0"/>
          <w:iCs w:val="0"/>
        </w:rPr>
        <w:t xml:space="preserve">Odselitve so izvedene </w:t>
      </w:r>
      <w:r w:rsidR="000D4405" w:rsidRPr="003D44F9">
        <w:rPr>
          <w:rStyle w:val="Emphasis"/>
          <w:i w:val="0"/>
          <w:iCs w:val="0"/>
        </w:rPr>
        <w:t xml:space="preserve">iz dveh </w:t>
      </w:r>
      <w:r w:rsidR="002D29B8" w:rsidRPr="003D44F9">
        <w:rPr>
          <w:rStyle w:val="Emphasis"/>
          <w:i w:val="0"/>
          <w:iCs w:val="0"/>
        </w:rPr>
        <w:t>komponent</w:t>
      </w:r>
      <w:r w:rsidR="000D4405" w:rsidRPr="003D44F9">
        <w:rPr>
          <w:rStyle w:val="Emphasis"/>
          <w:i w:val="0"/>
          <w:iCs w:val="0"/>
        </w:rPr>
        <w:t>: iz preteklih trendo</w:t>
      </w:r>
      <w:r w:rsidR="0029510A" w:rsidRPr="003D44F9">
        <w:rPr>
          <w:rStyle w:val="Emphasis"/>
          <w:i w:val="0"/>
          <w:iCs w:val="0"/>
        </w:rPr>
        <w:t xml:space="preserve">v </w:t>
      </w:r>
      <w:r w:rsidR="004747E2" w:rsidRPr="003D44F9">
        <w:rPr>
          <w:rStyle w:val="Emphasis"/>
          <w:i w:val="0"/>
          <w:iCs w:val="0"/>
        </w:rPr>
        <w:t>odseljevanja</w:t>
      </w:r>
      <w:r w:rsidR="0029510A" w:rsidRPr="003D44F9">
        <w:rPr>
          <w:rStyle w:val="Emphasis"/>
          <w:i w:val="0"/>
          <w:iCs w:val="0"/>
        </w:rPr>
        <w:t xml:space="preserve">, predvidena pa je konvergenca k skupni ravni </w:t>
      </w:r>
      <w:r w:rsidR="004747E2" w:rsidRPr="003D44F9">
        <w:rPr>
          <w:rStyle w:val="Emphasis"/>
          <w:i w:val="0"/>
          <w:iCs w:val="0"/>
        </w:rPr>
        <w:t xml:space="preserve">odseljevanja </w:t>
      </w:r>
      <w:r w:rsidR="0029510A" w:rsidRPr="003D44F9">
        <w:rPr>
          <w:rStyle w:val="Emphasis"/>
          <w:i w:val="0"/>
          <w:iCs w:val="0"/>
        </w:rPr>
        <w:t>v EU</w:t>
      </w:r>
      <w:r w:rsidR="00EB2D42">
        <w:rPr>
          <w:rStyle w:val="Emphasis"/>
          <w:i w:val="0"/>
          <w:iCs w:val="0"/>
        </w:rPr>
        <w:t>,</w:t>
      </w:r>
      <w:r w:rsidR="00513CE5" w:rsidRPr="003D44F9">
        <w:rPr>
          <w:rStyle w:val="Emphasis"/>
          <w:i w:val="0"/>
          <w:iCs w:val="0"/>
        </w:rPr>
        <w:t xml:space="preserve"> </w:t>
      </w:r>
      <w:r w:rsidR="00190EB3" w:rsidRPr="003D44F9">
        <w:rPr>
          <w:rStyle w:val="Emphasis"/>
          <w:i w:val="0"/>
          <w:iCs w:val="0"/>
        </w:rPr>
        <w:t xml:space="preserve">ter vračanja ukrajinskih beguncev </w:t>
      </w:r>
      <w:r w:rsidR="00C44838" w:rsidRPr="003D44F9">
        <w:rPr>
          <w:rStyle w:val="Emphasis"/>
          <w:i w:val="0"/>
          <w:iCs w:val="0"/>
        </w:rPr>
        <w:t>v letu 2024</w:t>
      </w:r>
      <w:r w:rsidR="0029510A" w:rsidRPr="003D44F9">
        <w:rPr>
          <w:rStyle w:val="Emphasis"/>
          <w:i w:val="0"/>
          <w:iCs w:val="0"/>
        </w:rPr>
        <w:t>.</w:t>
      </w:r>
      <w:r w:rsidR="00AC73D9">
        <w:rPr>
          <w:rStyle w:val="Emphasis"/>
          <w:i w:val="0"/>
          <w:iCs w:val="0"/>
        </w:rPr>
        <w:t xml:space="preserve"> </w:t>
      </w:r>
    </w:p>
    <w:p w14:paraId="6AEFDB8C" w14:textId="77777777" w:rsidR="00970FC8" w:rsidRPr="000A6CB2" w:rsidRDefault="00970FC8" w:rsidP="000A6CB2">
      <w:pPr>
        <w:pStyle w:val="BesediloUMAR"/>
        <w:rPr>
          <w:rStyle w:val="Emphasis"/>
          <w:i w:val="0"/>
          <w:iCs w:val="0"/>
        </w:rPr>
      </w:pPr>
    </w:p>
    <w:p w14:paraId="1140F639" w14:textId="77777777" w:rsidR="000D324B" w:rsidRDefault="000D324B" w:rsidP="00E857A5">
      <w:pPr>
        <w:pStyle w:val="Heading2"/>
      </w:pPr>
      <w:bookmarkStart w:id="35" w:name="_Toc146283013"/>
      <w:bookmarkStart w:id="36" w:name="_Hlk146196262"/>
      <w:bookmarkEnd w:id="34"/>
      <w:r>
        <w:t>Rodnost</w:t>
      </w:r>
      <w:bookmarkEnd w:id="35"/>
    </w:p>
    <w:p w14:paraId="0432A4CE" w14:textId="752F9F01" w:rsidR="006E7725" w:rsidRDefault="002350D1" w:rsidP="000D324B">
      <w:pPr>
        <w:pStyle w:val="BesediloUMAR"/>
      </w:pPr>
      <w:r w:rsidRPr="00893CB8">
        <w:rPr>
          <w:rStyle w:val="BoldpoudarekUMAR"/>
        </w:rPr>
        <w:t>Rodnost se je v zadnjem stoletju v razvitih državah zniževala.</w:t>
      </w:r>
      <w:r w:rsidRPr="00893CB8">
        <w:t xml:space="preserve"> Vse več žensk je bilo vključenih v izobraževalni sistem, informacije</w:t>
      </w:r>
      <w:r w:rsidR="0028729C">
        <w:t xml:space="preserve"> o</w:t>
      </w:r>
      <w:r w:rsidRPr="00893CB8">
        <w:t xml:space="preserve"> </w:t>
      </w:r>
      <w:r w:rsidR="00F27D2A" w:rsidRPr="00893CB8">
        <w:t>metod</w:t>
      </w:r>
      <w:r w:rsidR="00F27D2A">
        <w:t xml:space="preserve">ah </w:t>
      </w:r>
      <w:r w:rsidR="00F27D2A" w:rsidRPr="00893CB8">
        <w:t xml:space="preserve">uravnavanja rojstev </w:t>
      </w:r>
      <w:r w:rsidR="00721B1B" w:rsidRPr="00893CB8">
        <w:t xml:space="preserve">in </w:t>
      </w:r>
      <w:r w:rsidR="00F27D2A">
        <w:t>metode same</w:t>
      </w:r>
      <w:r w:rsidR="00721B1B" w:rsidRPr="00893CB8">
        <w:t xml:space="preserve"> </w:t>
      </w:r>
      <w:r w:rsidRPr="00893CB8">
        <w:t>pa so postale dostopne</w:t>
      </w:r>
      <w:r w:rsidR="00EC4DE8">
        <w:t>jše</w:t>
      </w:r>
      <w:r w:rsidRPr="00893CB8">
        <w:t>. Gre za fazo demografskega prehoda</w:t>
      </w:r>
      <w:r w:rsidR="005C74C7">
        <w:t>*</w:t>
      </w:r>
      <w:r w:rsidRPr="00893CB8">
        <w:t>, kjer sta rodnost in umrljivost nizki, posledično pa število prebival</w:t>
      </w:r>
      <w:r w:rsidR="0028729C">
        <w:t>cev</w:t>
      </w:r>
      <w:r w:rsidRPr="00893CB8">
        <w:t xml:space="preserve"> le počasi narašča ali </w:t>
      </w:r>
      <w:r w:rsidR="0028729C">
        <w:t xml:space="preserve">pa </w:t>
      </w:r>
      <w:r w:rsidRPr="00893CB8">
        <w:t xml:space="preserve">se izmenjuje pozitiven in negativen naravni prirast, kar je značilno za industrijske in </w:t>
      </w:r>
      <w:r w:rsidR="002D29B8" w:rsidRPr="00893CB8">
        <w:t>postindustrijske</w:t>
      </w:r>
      <w:r w:rsidRPr="00893CB8">
        <w:t xml:space="preserve"> faze demografskega prehoda</w:t>
      </w:r>
      <w:r w:rsidR="00EC5533" w:rsidRPr="00893CB8">
        <w:t xml:space="preserve"> </w:t>
      </w:r>
      <w:r w:rsidR="00721B1B" w:rsidRPr="00893CB8">
        <w:fldChar w:fldCharType="begin"/>
      </w:r>
      <w:r w:rsidR="00721B1B" w:rsidRPr="00893CB8">
        <w:instrText xml:space="preserve"> ADDIN ZOTERO_ITEM CSL_CITATION {"citationID":"GPhnv7kO","properties":{"formattedCitation":"(Kraigher in Ferk, 2013)","plainCitation":"(Kraigher in Ferk, 2013)","noteIndex":0},"citationItems":[{"id":3377,"uris":["http://zotero.org/users/8040504/items/ILSIE6RX"],"itemData":{"id":3377,"type":"book","collection-number":"3/2013","collection-title":"Delovni zvezek","event-place":"Ljubljana","ISBN":"978-961-6839-20-4","publisher":"UMAR","publisher-place":"Ljubljana","title":"Delovna projekcija prebivalstva Slovenije","URL":"https://www.umar.gov.si/fileadmin/user_upload/publikacije/dz/2013/dz03-13.pdf","volume":"XXII","author":[{"family":"Kraigher","given":"Tomaž"},{"family":"Ferk","given":"Barbara"}],"issued":{"date-parts":[["2013"]]}}}],"schema":"https://github.com/citation-style-language/schema/raw/master/csl-citation.json"} </w:instrText>
      </w:r>
      <w:r w:rsidR="00721B1B" w:rsidRPr="00893CB8">
        <w:fldChar w:fldCharType="separate"/>
      </w:r>
      <w:r w:rsidR="00721B1B" w:rsidRPr="00893CB8">
        <w:t>(Kraigher in Ferk, 2013)</w:t>
      </w:r>
      <w:r w:rsidR="00721B1B" w:rsidRPr="00893CB8">
        <w:fldChar w:fldCharType="end"/>
      </w:r>
      <w:r w:rsidRPr="00893CB8">
        <w:t>.</w:t>
      </w:r>
      <w:r w:rsidR="00513CE5">
        <w:t xml:space="preserve"> </w:t>
      </w:r>
    </w:p>
    <w:p w14:paraId="2B188ECA" w14:textId="77777777" w:rsidR="002350D1" w:rsidRDefault="002350D1" w:rsidP="000D324B">
      <w:pPr>
        <w:pStyle w:val="BesediloUMAR"/>
        <w:rPr>
          <w:highlight w:val="lightGray"/>
        </w:rPr>
      </w:pPr>
    </w:p>
    <w:p w14:paraId="0E24C340" w14:textId="4D1F80AD" w:rsidR="00F64C5C" w:rsidRDefault="006E7725" w:rsidP="00F64C5C">
      <w:pPr>
        <w:pStyle w:val="BesediloUMAR"/>
      </w:pPr>
      <w:r w:rsidRPr="00225FB6">
        <w:rPr>
          <w:rStyle w:val="BoldpoudarekUMAR"/>
        </w:rPr>
        <w:t xml:space="preserve">Projekcija </w:t>
      </w:r>
      <w:r w:rsidR="000D7640">
        <w:rPr>
          <w:rStyle w:val="BoldpoudarekUMAR"/>
        </w:rPr>
        <w:t>predpostavlja</w:t>
      </w:r>
      <w:r w:rsidR="00893CB8">
        <w:rPr>
          <w:rStyle w:val="BoldpoudarekUMAR"/>
        </w:rPr>
        <w:t>, da se bo</w:t>
      </w:r>
      <w:r w:rsidRPr="00225FB6">
        <w:rPr>
          <w:rStyle w:val="BoldpoudarekUMAR"/>
        </w:rPr>
        <w:t xml:space="preserve"> </w:t>
      </w:r>
      <w:r w:rsidR="007E54A6">
        <w:rPr>
          <w:rStyle w:val="BoldpoudarekUMAR"/>
        </w:rPr>
        <w:t xml:space="preserve">celotna </w:t>
      </w:r>
      <w:r w:rsidRPr="00225FB6">
        <w:rPr>
          <w:rStyle w:val="BoldpoudarekUMAR"/>
        </w:rPr>
        <w:t>stopnj</w:t>
      </w:r>
      <w:r w:rsidR="00893CB8">
        <w:rPr>
          <w:rStyle w:val="BoldpoudarekUMAR"/>
        </w:rPr>
        <w:t>a</w:t>
      </w:r>
      <w:r w:rsidRPr="00225FB6">
        <w:rPr>
          <w:rStyle w:val="BoldpoudarekUMAR"/>
        </w:rPr>
        <w:t xml:space="preserve"> rodnosti</w:t>
      </w:r>
      <w:r w:rsidR="00893CB8" w:rsidRPr="00893CB8">
        <w:rPr>
          <w:rStyle w:val="BoldpoudarekUMAR"/>
        </w:rPr>
        <w:t xml:space="preserve"> </w:t>
      </w:r>
      <w:r w:rsidR="00893CB8" w:rsidRPr="00225FB6">
        <w:rPr>
          <w:rStyle w:val="BoldpoudarekUMAR"/>
        </w:rPr>
        <w:t>poveča</w:t>
      </w:r>
      <w:r w:rsidR="00893CB8">
        <w:rPr>
          <w:rStyle w:val="BoldpoudarekUMAR"/>
        </w:rPr>
        <w:t>la</w:t>
      </w:r>
      <w:r w:rsidRPr="00225FB6">
        <w:rPr>
          <w:rStyle w:val="BoldpoudarekUMAR"/>
        </w:rPr>
        <w:t xml:space="preserve">, vendar </w:t>
      </w:r>
      <w:r w:rsidR="00261F59">
        <w:rPr>
          <w:rStyle w:val="BoldpoudarekUMAR"/>
        </w:rPr>
        <w:t xml:space="preserve">naj </w:t>
      </w:r>
      <w:r w:rsidR="009707DB">
        <w:rPr>
          <w:rStyle w:val="BoldpoudarekUMAR"/>
        </w:rPr>
        <w:t>ne bi dosegla najvišjih stopenj iz preteklosti,</w:t>
      </w:r>
      <w:r w:rsidRPr="00225FB6">
        <w:rPr>
          <w:rStyle w:val="BoldpoudarekUMAR"/>
        </w:rPr>
        <w:t xml:space="preserve"> ob zmanjševanju števila žensk v rodni dobi</w:t>
      </w:r>
      <w:r w:rsidR="009355C6">
        <w:rPr>
          <w:rStyle w:val="BoldpoudarekUMAR"/>
        </w:rPr>
        <w:t>*</w:t>
      </w:r>
      <w:r w:rsidRPr="00225FB6">
        <w:rPr>
          <w:rStyle w:val="BoldpoudarekUMAR"/>
        </w:rPr>
        <w:t xml:space="preserve"> </w:t>
      </w:r>
      <w:r w:rsidR="009707DB">
        <w:rPr>
          <w:rStyle w:val="BoldpoudarekUMAR"/>
        </w:rPr>
        <w:t xml:space="preserve">pa se bo </w:t>
      </w:r>
      <w:r w:rsidRPr="00225FB6">
        <w:rPr>
          <w:rStyle w:val="BoldpoudarekUMAR"/>
        </w:rPr>
        <w:t>rodilo manj otrok.</w:t>
      </w:r>
      <w:r w:rsidRPr="006E7725">
        <w:t xml:space="preserve"> </w:t>
      </w:r>
      <w:r w:rsidR="00893CB8">
        <w:t>V</w:t>
      </w:r>
      <w:r w:rsidRPr="006E7725">
        <w:t xml:space="preserve"> Sloveniji </w:t>
      </w:r>
      <w:r w:rsidR="00513CE5">
        <w:t xml:space="preserve">naj </w:t>
      </w:r>
      <w:r w:rsidR="007E54A6">
        <w:t>bi se stopnja rodnosti</w:t>
      </w:r>
      <w:r w:rsidR="008B17E3">
        <w:t xml:space="preserve"> </w:t>
      </w:r>
      <w:r w:rsidRPr="006E7725">
        <w:t xml:space="preserve">postopoma povečevala z 1,59 </w:t>
      </w:r>
      <w:r w:rsidR="003054D6">
        <w:t xml:space="preserve">oz. 1,55 </w:t>
      </w:r>
      <w:r w:rsidRPr="006E7725">
        <w:t>otroka na žensko v rodni dobi leta 2022</w:t>
      </w:r>
      <w:r w:rsidR="00E6473D">
        <w:t xml:space="preserve"> (</w:t>
      </w:r>
      <w:r w:rsidR="003054D6">
        <w:t>gl. opombo pod sliko 8)</w:t>
      </w:r>
      <w:r w:rsidRPr="006E7725">
        <w:t xml:space="preserve"> na 1,72 leta 2100. Število žensk v rodni dobi (15–49 let) se v Sloveniji znižuje že od leta 1997, leta 2021 jih je bilo </w:t>
      </w:r>
      <w:r w:rsidR="00361019">
        <w:t xml:space="preserve">za </w:t>
      </w:r>
      <w:r w:rsidRPr="006E7725">
        <w:t xml:space="preserve">92 tisoč oz. </w:t>
      </w:r>
      <w:r w:rsidR="001F4257">
        <w:t xml:space="preserve">za </w:t>
      </w:r>
      <w:r w:rsidRPr="006E7725">
        <w:t xml:space="preserve">17,8 % manj kot leta 1996. Zato </w:t>
      </w:r>
      <w:r w:rsidR="00025AFA" w:rsidRPr="006E7725">
        <w:t xml:space="preserve">že od leta 2011 upada število rojstev </w:t>
      </w:r>
      <w:r w:rsidRPr="006E7725">
        <w:t>kljub</w:t>
      </w:r>
      <w:r w:rsidR="00025AFA">
        <w:t xml:space="preserve"> razmeroma ugodni</w:t>
      </w:r>
      <w:r w:rsidRPr="006E7725">
        <w:t xml:space="preserve"> stopnji rodnosti, ki je </w:t>
      </w:r>
      <w:r w:rsidR="00025AFA">
        <w:t xml:space="preserve">od leta 2011 višja kot v povprečju EU, </w:t>
      </w:r>
      <w:r w:rsidRPr="006E7725">
        <w:t>zadnja leta</w:t>
      </w:r>
      <w:r w:rsidR="00025AFA">
        <w:t xml:space="preserve"> </w:t>
      </w:r>
      <w:r w:rsidR="00025AFA" w:rsidRPr="006E7725">
        <w:t>(2017</w:t>
      </w:r>
      <w:r w:rsidR="00025AFA">
        <w:t>–</w:t>
      </w:r>
      <w:r w:rsidR="00025AFA" w:rsidRPr="006E7725">
        <w:t>2021</w:t>
      </w:r>
      <w:r w:rsidR="00025AFA">
        <w:t>)</w:t>
      </w:r>
      <w:r w:rsidR="00E515FD">
        <w:t xml:space="preserve"> </w:t>
      </w:r>
      <w:r w:rsidR="00E515FD">
        <w:lastRenderedPageBreak/>
        <w:t>pa</w:t>
      </w:r>
      <w:r w:rsidRPr="006E7725">
        <w:t xml:space="preserve"> </w:t>
      </w:r>
      <w:r w:rsidR="0099530B">
        <w:t xml:space="preserve">je bila </w:t>
      </w:r>
      <w:r w:rsidR="00E515FD" w:rsidRPr="006E7725">
        <w:t xml:space="preserve">nad 1,6 otroka na žensko v rodni dobi </w:t>
      </w:r>
      <w:r w:rsidR="00E515FD">
        <w:t xml:space="preserve">in </w:t>
      </w:r>
      <w:r w:rsidRPr="006E7725">
        <w:t xml:space="preserve">najvišja po letu 1988. </w:t>
      </w:r>
      <w:r w:rsidR="00BF270A">
        <w:t>Leta 2022 je upadla na 1,55</w:t>
      </w:r>
      <w:r w:rsidR="00857D33">
        <w:t xml:space="preserve">. </w:t>
      </w:r>
      <w:r w:rsidRPr="006E7725">
        <w:t xml:space="preserve">Leta 2010 se je </w:t>
      </w:r>
      <w:r w:rsidR="00E515FD">
        <w:t xml:space="preserve">tako </w:t>
      </w:r>
      <w:r w:rsidRPr="006E7725">
        <w:t>rodilo 22.343 otrok, leta 2022 pa 17.</w:t>
      </w:r>
      <w:r w:rsidR="0099530B">
        <w:t>627</w:t>
      </w:r>
      <w:r w:rsidRPr="006E7725">
        <w:t>, v povprečju obdobja projekcije pa je predvidenih letno 17.110 živorojenih.</w:t>
      </w:r>
      <w:r w:rsidR="00E515FD">
        <w:t xml:space="preserve"> </w:t>
      </w:r>
      <w:r w:rsidR="006A6056" w:rsidRPr="00737829">
        <w:t>V Sloveniji je bila najni</w:t>
      </w:r>
      <w:r w:rsidR="00543EE3" w:rsidRPr="00737829">
        <w:t>ž</w:t>
      </w:r>
      <w:r w:rsidR="006A6056" w:rsidRPr="00737829">
        <w:t xml:space="preserve">ja </w:t>
      </w:r>
      <w:r w:rsidR="00420881">
        <w:t xml:space="preserve">celotna </w:t>
      </w:r>
      <w:r w:rsidR="006A6056" w:rsidRPr="00737829">
        <w:t xml:space="preserve">stopnja rodnosti v obdobju </w:t>
      </w:r>
      <w:r w:rsidR="00543EE3" w:rsidRPr="00737829">
        <w:t>1954–202</w:t>
      </w:r>
      <w:r w:rsidR="00BF270A">
        <w:t>2</w:t>
      </w:r>
      <w:r w:rsidR="00543EE3" w:rsidRPr="00737829">
        <w:t xml:space="preserve"> leta </w:t>
      </w:r>
      <w:r w:rsidR="00F64C5C" w:rsidRPr="00737829">
        <w:t>2003 (1,20),</w:t>
      </w:r>
      <w:r w:rsidR="00286872" w:rsidRPr="00737829">
        <w:t xml:space="preserve"> najviš</w:t>
      </w:r>
      <w:r w:rsidR="00E515FD">
        <w:t>j</w:t>
      </w:r>
      <w:r w:rsidR="00286872" w:rsidRPr="00737829">
        <w:t>a pa v letih 1954</w:t>
      </w:r>
      <w:r w:rsidR="00E515FD">
        <w:t xml:space="preserve"> in</w:t>
      </w:r>
      <w:r w:rsidR="00286872" w:rsidRPr="00737829">
        <w:t>1955 (2,58)</w:t>
      </w:r>
      <w:r w:rsidR="00302864">
        <w:t>;</w:t>
      </w:r>
      <w:r w:rsidR="00AC73D9">
        <w:t xml:space="preserve"> </w:t>
      </w:r>
      <w:r w:rsidR="00F64C5C" w:rsidRPr="00737829">
        <w:t>zadnjič</w:t>
      </w:r>
      <w:r w:rsidR="00A53289">
        <w:t xml:space="preserve"> </w:t>
      </w:r>
      <w:r w:rsidR="00F64C5C" w:rsidRPr="00737829">
        <w:t xml:space="preserve">je raven, ki še zagotavlja obnavljanje </w:t>
      </w:r>
      <w:r w:rsidR="001F320E">
        <w:t>števila prebivalcev</w:t>
      </w:r>
      <w:r w:rsidR="00F64C5C" w:rsidRPr="00737829">
        <w:t xml:space="preserve"> (tj. 2,10 otroka na žensko v rodni dobi) </w:t>
      </w:r>
      <w:r w:rsidR="000D7640" w:rsidRPr="00737829">
        <w:t xml:space="preserve">dosegla </w:t>
      </w:r>
      <w:r w:rsidR="00F64C5C" w:rsidRPr="00737829">
        <w:t>leta 1980</w:t>
      </w:r>
      <w:r w:rsidR="00E67848">
        <w:t xml:space="preserve">, </w:t>
      </w:r>
      <w:r w:rsidR="00361019">
        <w:t>bila</w:t>
      </w:r>
      <w:r w:rsidR="00BB4380">
        <w:t xml:space="preserve"> </w:t>
      </w:r>
      <w:r w:rsidR="00D87A9A">
        <w:t xml:space="preserve">je </w:t>
      </w:r>
      <w:r w:rsidR="00F64C5C" w:rsidRPr="00737829">
        <w:t xml:space="preserve">2,11. </w:t>
      </w:r>
      <w:r w:rsidR="00D02008">
        <w:t>N</w:t>
      </w:r>
      <w:r w:rsidR="0015734E" w:rsidRPr="00737829">
        <w:t xml:space="preserve">ajveč otrok </w:t>
      </w:r>
      <w:r w:rsidR="00D02008">
        <w:t xml:space="preserve">se je </w:t>
      </w:r>
      <w:r w:rsidR="0015734E" w:rsidRPr="00737829">
        <w:t>rodilo leta 1955 (3</w:t>
      </w:r>
      <w:r w:rsidR="006C7BD7" w:rsidRPr="00737829">
        <w:t>2</w:t>
      </w:r>
      <w:r w:rsidR="0015734E" w:rsidRPr="00737829">
        <w:t>.096), najmanj pa leta 2003 (17</w:t>
      </w:r>
      <w:r w:rsidR="006C7BD7" w:rsidRPr="00737829">
        <w:t xml:space="preserve">.321). </w:t>
      </w:r>
      <w:r w:rsidR="00F64C5C" w:rsidRPr="00737829">
        <w:t xml:space="preserve">Tudi v drugih članicah EU rodnost ne dosega ravni za enostavno obnavljanje </w:t>
      </w:r>
      <w:r w:rsidR="001F320E">
        <w:t xml:space="preserve">števila </w:t>
      </w:r>
      <w:r w:rsidR="00F64C5C" w:rsidRPr="00737829">
        <w:t>prebival</w:t>
      </w:r>
      <w:r w:rsidR="001F320E">
        <w:t>cev</w:t>
      </w:r>
      <w:r w:rsidR="00F64C5C" w:rsidRPr="00737829">
        <w:t xml:space="preserve">. Stopnjo 2,0 otroka na žensko v rodni dobi </w:t>
      </w:r>
      <w:r w:rsidR="00613A94">
        <w:t>sta</w:t>
      </w:r>
      <w:r w:rsidR="00F64C5C" w:rsidRPr="00737829">
        <w:t xml:space="preserve"> imel</w:t>
      </w:r>
      <w:r w:rsidR="00613A94">
        <w:t>i</w:t>
      </w:r>
      <w:r w:rsidR="00F64C5C" w:rsidRPr="00737829">
        <w:t xml:space="preserve"> nazadnje Francija leta 2014 in Irska (2,03) leta 2011. </w:t>
      </w:r>
    </w:p>
    <w:p w14:paraId="4FA8D147" w14:textId="1DA3C4C6" w:rsidR="0042437B" w:rsidRDefault="0042437B" w:rsidP="00B84C29">
      <w:pPr>
        <w:pStyle w:val="Caption"/>
      </w:pPr>
      <w:bookmarkStart w:id="37" w:name="_Toc146283027"/>
      <w:r w:rsidRPr="00CA0BE7">
        <w:t xml:space="preserve">Slika </w:t>
      </w:r>
      <w:r w:rsidRPr="00CA0BE7">
        <w:fldChar w:fldCharType="begin"/>
      </w:r>
      <w:r w:rsidRPr="00CA0BE7">
        <w:instrText xml:space="preserve"> SEQ Slika \* ARABIC </w:instrText>
      </w:r>
      <w:r w:rsidRPr="00CA0BE7">
        <w:fldChar w:fldCharType="separate"/>
      </w:r>
      <w:r w:rsidR="00B3724D">
        <w:t>8</w:t>
      </w:r>
      <w:r w:rsidRPr="00CA0BE7">
        <w:fldChar w:fldCharType="end"/>
      </w:r>
      <w:r w:rsidRPr="00CA0BE7">
        <w:t>:</w:t>
      </w:r>
      <w:r>
        <w:t xml:space="preserve"> Celotna stopnja rodnosti bo po projekciji EUROPOP2023 najprej hitreje, nato počasneje naraščala, število rojenih pa se bo zmanjšalo</w:t>
      </w:r>
      <w:bookmarkEnd w:id="37"/>
    </w:p>
    <w:p w14:paraId="1A71768C" w14:textId="681D815D" w:rsidR="0042437B" w:rsidRDefault="00CA0BE7" w:rsidP="0042437B">
      <w:pPr>
        <w:pStyle w:val="BesediloUMAR"/>
      </w:pPr>
      <w:r w:rsidRPr="00CA0BE7">
        <w:rPr>
          <w:noProof/>
        </w:rPr>
        <w:drawing>
          <wp:inline distT="0" distB="0" distL="0" distR="0" wp14:anchorId="6F419A03" wp14:editId="7DB1586D">
            <wp:extent cx="5759450" cy="2035175"/>
            <wp:effectExtent l="0" t="0" r="0" b="317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2035175"/>
                    </a:xfrm>
                    <a:prstGeom prst="rect">
                      <a:avLst/>
                    </a:prstGeom>
                    <a:noFill/>
                    <a:ln>
                      <a:noFill/>
                    </a:ln>
                  </pic:spPr>
                </pic:pic>
              </a:graphicData>
            </a:graphic>
          </wp:inline>
        </w:drawing>
      </w:r>
    </w:p>
    <w:p w14:paraId="21D0E6C0" w14:textId="77777777" w:rsidR="00970FC8" w:rsidRPr="00970FC8" w:rsidRDefault="00970FC8" w:rsidP="00F801ED">
      <w:pPr>
        <w:pStyle w:val="VirUMAR"/>
      </w:pPr>
      <w:r w:rsidRPr="00970FC8">
        <w:t xml:space="preserve">Vir: </w:t>
      </w:r>
      <w:r w:rsidRPr="00970FC8">
        <w:fldChar w:fldCharType="begin"/>
      </w:r>
      <w:r w:rsidRPr="00970FC8">
        <w:instrText xml:space="preserve"> ADDIN ZOTERO_ITEM CSL_CITATION {"citationID":"2iC7pdWT","properties":{"custom":"Eurostat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970FC8">
        <w:fldChar w:fldCharType="separate"/>
      </w:r>
      <w:r w:rsidRPr="00970FC8">
        <w:t>Eurostat (2023a)</w:t>
      </w:r>
      <w:r w:rsidRPr="00970FC8">
        <w:fldChar w:fldCharType="end"/>
      </w:r>
      <w:r w:rsidRPr="00970FC8">
        <w:t>.</w:t>
      </w:r>
    </w:p>
    <w:p w14:paraId="3A9B09F8" w14:textId="346DA2E7" w:rsidR="00857D33" w:rsidRDefault="00857D33" w:rsidP="00F801ED">
      <w:pPr>
        <w:pStyle w:val="VirUMAR"/>
      </w:pPr>
      <w:r w:rsidRPr="00970FC8">
        <w:t xml:space="preserve">Opomba: Za leto 2022 je </w:t>
      </w:r>
      <w:r w:rsidR="00970FC8">
        <w:t>p</w:t>
      </w:r>
      <w:r w:rsidRPr="00970FC8">
        <w:t>rikazana stopnja rodnosti iz projekcije, tj. 1,5</w:t>
      </w:r>
      <w:r w:rsidR="00903BF7">
        <w:t>9</w:t>
      </w:r>
      <w:r w:rsidRPr="00970FC8">
        <w:t xml:space="preserve">, dejanska pa je bila 1,55 (objavljena </w:t>
      </w:r>
      <w:r w:rsidR="006A3609" w:rsidRPr="00970FC8">
        <w:t>nekoliko kasneje kot projekcije).</w:t>
      </w:r>
    </w:p>
    <w:p w14:paraId="1D5DE00C" w14:textId="77777777" w:rsidR="00E85837" w:rsidRPr="00970FC8" w:rsidRDefault="00E85837" w:rsidP="00F801ED">
      <w:pPr>
        <w:pStyle w:val="VirUMAR"/>
      </w:pPr>
    </w:p>
    <w:p w14:paraId="6DE51532" w14:textId="77777777" w:rsidR="006A3609" w:rsidRDefault="006A3609" w:rsidP="00F64C5C">
      <w:pPr>
        <w:pStyle w:val="BesediloUMAR"/>
      </w:pPr>
    </w:p>
    <w:p w14:paraId="07E5E7A2" w14:textId="19FC4466" w:rsidR="002C10DF" w:rsidRDefault="00FC2E66" w:rsidP="002C10DF">
      <w:pPr>
        <w:pStyle w:val="BesediloUMAR"/>
      </w:pPr>
      <w:r w:rsidRPr="000819F3">
        <w:rPr>
          <w:rStyle w:val="BoldpoudarekUMAR"/>
        </w:rPr>
        <w:t>Ženske so se v 80</w:t>
      </w:r>
      <w:r w:rsidR="00701B40">
        <w:rPr>
          <w:rStyle w:val="BoldpoudarekUMAR"/>
        </w:rPr>
        <w:t>.</w:t>
      </w:r>
      <w:r w:rsidRPr="000819F3">
        <w:rPr>
          <w:rStyle w:val="BoldpoudarekUMAR"/>
        </w:rPr>
        <w:t xml:space="preserve"> in 90</w:t>
      </w:r>
      <w:r w:rsidR="00701B40">
        <w:rPr>
          <w:rStyle w:val="BoldpoudarekUMAR"/>
        </w:rPr>
        <w:t>.</w:t>
      </w:r>
      <w:r w:rsidRPr="000819F3">
        <w:rPr>
          <w:rStyle w:val="BoldpoudarekUMAR"/>
        </w:rPr>
        <w:t xml:space="preserve"> letih </w:t>
      </w:r>
      <w:r w:rsidR="00B03A37" w:rsidRPr="00873239">
        <w:rPr>
          <w:rStyle w:val="BoldpoudarekUMAR"/>
        </w:rPr>
        <w:t>prejšnjega stoletja</w:t>
      </w:r>
      <w:r w:rsidR="00701B40">
        <w:rPr>
          <w:rStyle w:val="BoldpoudarekUMAR"/>
        </w:rPr>
        <w:t xml:space="preserve"> </w:t>
      </w:r>
      <w:r w:rsidR="00367EE9" w:rsidRPr="000819F3">
        <w:rPr>
          <w:rStyle w:val="BoldpoudarekUMAR"/>
        </w:rPr>
        <w:t xml:space="preserve">začele </w:t>
      </w:r>
      <w:r w:rsidRPr="000819F3">
        <w:rPr>
          <w:rStyle w:val="BoldpoudarekUMAR"/>
        </w:rPr>
        <w:t>odločati za rojstva v kasnejših letih in za manj otrok.</w:t>
      </w:r>
      <w:r>
        <w:t xml:space="preserve"> </w:t>
      </w:r>
      <w:r w:rsidR="002C10DF">
        <w:t xml:space="preserve">Razlogi so </w:t>
      </w:r>
      <w:r w:rsidR="00AE6522">
        <w:t xml:space="preserve">bili </w:t>
      </w:r>
      <w:r w:rsidR="002C10DF">
        <w:t xml:space="preserve">delno ekonomske narave (omejene možnosti zaposlitve in zato še vedno visoka brezposelnost mladih, pomanjkanje cenovno dostopnih stanovanj ter problemi pri zaposlovanju žensk, če je </w:t>
      </w:r>
      <w:r w:rsidR="00DF3F02">
        <w:t xml:space="preserve">bilo </w:t>
      </w:r>
      <w:r w:rsidR="002C10DF">
        <w:t xml:space="preserve">pričakovati, da bodo koristile porodniški dopust), delno pa gre za </w:t>
      </w:r>
      <w:r w:rsidR="00613A94">
        <w:t xml:space="preserve">dejavnike </w:t>
      </w:r>
      <w:r w:rsidR="00AE6522">
        <w:t>demografsk</w:t>
      </w:r>
      <w:r w:rsidR="00613A94">
        <w:t>ega</w:t>
      </w:r>
      <w:r w:rsidR="007D4259">
        <w:t xml:space="preserve"> </w:t>
      </w:r>
      <w:r w:rsidR="00AE6522">
        <w:t>prehod</w:t>
      </w:r>
      <w:r w:rsidR="00613A94">
        <w:t>a</w:t>
      </w:r>
      <w:r w:rsidR="002C10DF">
        <w:t>, ki je bil značil</w:t>
      </w:r>
      <w:r w:rsidR="00AE6522">
        <w:t>e</w:t>
      </w:r>
      <w:r w:rsidR="002C10DF">
        <w:t>n za vse razvite države</w:t>
      </w:r>
      <w:r w:rsidR="00FF2BB2">
        <w:t xml:space="preserve"> </w:t>
      </w:r>
      <w:r w:rsidR="000819F3">
        <w:fldChar w:fldCharType="begin"/>
      </w:r>
      <w:r w:rsidR="000819F3">
        <w:instrText xml:space="preserve"> ADDIN ZOTERO_ITEM CSL_CITATION {"citationID":"xxBbM3DG","properties":{"formattedCitation":"(Kraigher in Ferk, 2013)","plainCitation":"(Kraigher in Ferk, 2013)","noteIndex":0},"citationItems":[{"id":3377,"uris":["http://zotero.org/users/8040504/items/ILSIE6RX"],"itemData":{"id":3377,"type":"book","collection-number":"3/2013","collection-title":"Delovni zvezek","event-place":"Ljubljana","ISBN":"978-961-6839-20-4","publisher":"UMAR","publisher-place":"Ljubljana","title":"Delovna projekcija prebivalstva Slovenije","URL":"https://www.umar.gov.si/fileadmin/user_upload/publikacije/dz/2013/dz03-13.pdf","volume":"XXII","author":[{"family":"Kraigher","given":"Tomaž"},{"family":"Ferk","given":"Barbara"}],"issued":{"date-parts":[["2013"]]}}}],"schema":"https://github.com/citation-style-language/schema/raw/master/csl-citation.json"} </w:instrText>
      </w:r>
      <w:r w:rsidR="000819F3">
        <w:fldChar w:fldCharType="separate"/>
      </w:r>
      <w:r w:rsidR="000819F3" w:rsidRPr="000819F3">
        <w:t>(Kraigher in Ferk, 2013)</w:t>
      </w:r>
      <w:r w:rsidR="000819F3">
        <w:fldChar w:fldCharType="end"/>
      </w:r>
      <w:r w:rsidR="008B17E3">
        <w:t xml:space="preserve">. </w:t>
      </w:r>
      <w:r w:rsidR="002C10DF" w:rsidRPr="00053E6A">
        <w:t xml:space="preserve">Povečanje </w:t>
      </w:r>
      <w:r w:rsidR="008C32FC" w:rsidRPr="00053E6A">
        <w:t xml:space="preserve">celotne stopnje </w:t>
      </w:r>
      <w:r w:rsidR="002D29B8" w:rsidRPr="00053E6A">
        <w:t>rodnosti</w:t>
      </w:r>
      <w:r w:rsidR="008C32FC" w:rsidRPr="00053E6A">
        <w:t xml:space="preserve"> in tudi števila rojenih </w:t>
      </w:r>
      <w:r w:rsidR="002C10DF" w:rsidRPr="00053E6A">
        <w:t>od leta 2004 naprej pa je</w:t>
      </w:r>
      <w:r w:rsidR="00053E6A" w:rsidRPr="00053E6A">
        <w:t xml:space="preserve"> bil</w:t>
      </w:r>
      <w:r w:rsidR="00FF2BB2">
        <w:t>o</w:t>
      </w:r>
      <w:r w:rsidR="002C10DF" w:rsidRPr="00053E6A">
        <w:t>, poleg preteklega odl</w:t>
      </w:r>
      <w:r w:rsidR="002C10DF">
        <w:t xml:space="preserve">aganja rojstev, verjetno tudi posledica ekonomske konjunkture, </w:t>
      </w:r>
      <w:r w:rsidR="00053E6A">
        <w:t xml:space="preserve">saj je </w:t>
      </w:r>
      <w:r w:rsidR="000D7640">
        <w:t xml:space="preserve">bilo </w:t>
      </w:r>
      <w:r w:rsidR="00053E6A">
        <w:t xml:space="preserve">žensk v rodni dobi vse manj </w:t>
      </w:r>
      <w:r w:rsidR="00001E63">
        <w:t xml:space="preserve">(gl. </w:t>
      </w:r>
      <w:r w:rsidR="00001E63">
        <w:fldChar w:fldCharType="begin"/>
      </w:r>
      <w:r w:rsidR="00001E63">
        <w:instrText xml:space="preserve"> ADDIN ZOTERO_ITEM CSL_CITATION {"citationID":"fXHlevrB","properties":{"custom":"Kraigher in Ferk, 2013)","formattedCitation":"Kraigher in Ferk, 2013)","plainCitation":"Kraigher in Ferk, 2013)","noteIndex":0},"citationItems":[{"id":3377,"uris":["http://zotero.org/users/8040504/items/ILSIE6RX"],"itemData":{"id":3377,"type":"book","collection-number":"3/2013","collection-title":"Delovni zvezek","event-place":"Ljubljana","ISBN":"978-961-6839-20-4","publisher":"UMAR","publisher-place":"Ljubljana","title":"Delovna projekcija prebivalstva Slovenije","URL":"https://www.umar.gov.si/fileadmin/user_upload/publikacije/dz/2013/dz03-13.pdf","volume":"XXII","author":[{"family":"Kraigher","given":"Tomaž"},{"family":"Ferk","given":"Barbara"}],"issued":{"date-parts":[["2013"]]}}}],"schema":"https://github.com/citation-style-language/schema/raw/master/csl-citation.json"} </w:instrText>
      </w:r>
      <w:r w:rsidR="00001E63">
        <w:fldChar w:fldCharType="separate"/>
      </w:r>
      <w:r w:rsidR="00001E63" w:rsidRPr="00001E63">
        <w:t>Kraigher in Ferk, 2013)</w:t>
      </w:r>
      <w:r w:rsidR="00001E63">
        <w:fldChar w:fldCharType="end"/>
      </w:r>
      <w:r w:rsidR="002C10DF">
        <w:t xml:space="preserve">. </w:t>
      </w:r>
      <w:bookmarkStart w:id="38" w:name="_Hlk133919202"/>
      <w:r w:rsidR="002515EF">
        <w:t>V Sloveniji se je p</w:t>
      </w:r>
      <w:r w:rsidR="0024380E" w:rsidRPr="0024380E">
        <w:t xml:space="preserve">ovprečna starost žensk ob rojstvu otrok </w:t>
      </w:r>
      <w:r w:rsidR="002515EF">
        <w:t>povečevala</w:t>
      </w:r>
      <w:r w:rsidR="002515EF" w:rsidDel="002515EF">
        <w:t xml:space="preserve"> </w:t>
      </w:r>
      <w:r w:rsidR="0024380E" w:rsidRPr="0024380E">
        <w:t>od srede 80</w:t>
      </w:r>
      <w:r w:rsidR="006E0044">
        <w:t>.</w:t>
      </w:r>
      <w:r w:rsidR="0024380E" w:rsidRPr="0024380E">
        <w:t xml:space="preserve"> let prejšnjega stoletja. Povprečna starost ob rojstvu vseh otrok </w:t>
      </w:r>
      <w:r w:rsidR="00FF258A">
        <w:t>ostaja</w:t>
      </w:r>
      <w:r w:rsidR="006A3609">
        <w:t xml:space="preserve"> zadnja štiri leta </w:t>
      </w:r>
      <w:r w:rsidR="00E25DCC">
        <w:t>(2019</w:t>
      </w:r>
      <w:r w:rsidR="00075745">
        <w:t>–</w:t>
      </w:r>
      <w:r w:rsidR="00E25DCC" w:rsidRPr="0024380E">
        <w:t>202</w:t>
      </w:r>
      <w:r w:rsidR="00E25DCC">
        <w:t>2)</w:t>
      </w:r>
      <w:r w:rsidR="00E25DCC" w:rsidRPr="0024380E">
        <w:t xml:space="preserve"> </w:t>
      </w:r>
      <w:r w:rsidR="006A3609">
        <w:t>enaka</w:t>
      </w:r>
      <w:r w:rsidR="00E470D8">
        <w:t>,</w:t>
      </w:r>
      <w:r w:rsidR="00E25DCC">
        <w:t xml:space="preserve"> in </w:t>
      </w:r>
      <w:r w:rsidR="00E470D8">
        <w:t>sicer</w:t>
      </w:r>
      <w:r w:rsidR="0024380E" w:rsidRPr="0024380E">
        <w:t xml:space="preserve"> 31,1 let</w:t>
      </w:r>
      <w:r w:rsidR="00327010">
        <w:t>a</w:t>
      </w:r>
      <w:r w:rsidR="0024380E" w:rsidRPr="0024380E">
        <w:t>, ob rojstvu prvega pa 29,6 let</w:t>
      </w:r>
      <w:r w:rsidR="00327010">
        <w:t>a</w:t>
      </w:r>
      <w:r w:rsidR="002515EF">
        <w:t xml:space="preserve"> in</w:t>
      </w:r>
      <w:r w:rsidR="00327010">
        <w:t xml:space="preserve"> </w:t>
      </w:r>
      <w:r w:rsidR="00E25DCC">
        <w:t xml:space="preserve">se je </w:t>
      </w:r>
      <w:r w:rsidR="0024380E" w:rsidRPr="0024380E">
        <w:t>od leta 1985 povečala za 5,6 oz. 6,4 let</w:t>
      </w:r>
      <w:r w:rsidR="00DB05EF">
        <w:t>a</w:t>
      </w:r>
      <w:r w:rsidR="00E470D8">
        <w:t xml:space="preserve">. </w:t>
      </w:r>
      <w:r w:rsidR="005B597B">
        <w:t>Povprečna starost žensk ob rojstvu prvega otroka je bila v Sloveniji n</w:t>
      </w:r>
      <w:r w:rsidR="005B597B" w:rsidRPr="0024380E">
        <w:t xml:space="preserve">ajnižja </w:t>
      </w:r>
      <w:r w:rsidR="005B597B">
        <w:t xml:space="preserve">v obdobju 1968–1988, in sicer 23,1 leta. </w:t>
      </w:r>
      <w:r w:rsidR="00E470D8">
        <w:t>V</w:t>
      </w:r>
      <w:r w:rsidR="00367EE9">
        <w:t xml:space="preserve"> EU je bila leta 2021 najvišja </w:t>
      </w:r>
      <w:r w:rsidR="00E25DCC">
        <w:t xml:space="preserve">starost matere ob rojstvu vseh otrok </w:t>
      </w:r>
      <w:r w:rsidR="00367EE9">
        <w:t>v Španiji</w:t>
      </w:r>
      <w:r w:rsidR="00E25DCC">
        <w:t xml:space="preserve">, ob rojstvu prvega otroka pa na </w:t>
      </w:r>
      <w:r w:rsidR="00E25DCC" w:rsidRPr="00DF3F02">
        <w:t>Irskem</w:t>
      </w:r>
      <w:r w:rsidR="00E470D8" w:rsidRPr="00E75430">
        <w:t xml:space="preserve"> (</w:t>
      </w:r>
      <w:r w:rsidR="00367EE9" w:rsidRPr="00E75430">
        <w:t xml:space="preserve">gl. </w:t>
      </w:r>
      <w:r w:rsidR="00DF3F02">
        <w:t>slika 10</w:t>
      </w:r>
      <w:r w:rsidR="00DF3F02" w:rsidRPr="00DF3F02">
        <w:t>, desno</w:t>
      </w:r>
      <w:r w:rsidR="00367EE9">
        <w:t>)</w:t>
      </w:r>
      <w:r w:rsidR="0024380E" w:rsidRPr="0024380E">
        <w:t xml:space="preserve">. </w:t>
      </w:r>
      <w:r w:rsidR="00901275">
        <w:t xml:space="preserve">Povprečna starost </w:t>
      </w:r>
      <w:r w:rsidR="00605029">
        <w:t>ž</w:t>
      </w:r>
      <w:r w:rsidR="000E76FD" w:rsidRPr="00DB5673">
        <w:t xml:space="preserve">ensk v rodni dobi </w:t>
      </w:r>
      <w:r w:rsidR="00741410">
        <w:br/>
      </w:r>
      <w:r w:rsidR="00901275">
        <w:t xml:space="preserve">(15–49 let) je bila </w:t>
      </w:r>
      <w:r w:rsidR="000E76FD" w:rsidRPr="00DB5673">
        <w:t>v začetku leta 1982 31,2 let</w:t>
      </w:r>
      <w:r w:rsidR="006E0044">
        <w:t>a</w:t>
      </w:r>
      <w:r w:rsidR="000E76FD" w:rsidRPr="00DB5673">
        <w:t>,</w:t>
      </w:r>
      <w:r w:rsidR="00AC73D9">
        <w:t xml:space="preserve"> </w:t>
      </w:r>
      <w:r w:rsidR="00AE0A95">
        <w:t xml:space="preserve">v obdobju </w:t>
      </w:r>
      <w:r w:rsidR="002042AA">
        <w:t>2020–2023</w:t>
      </w:r>
      <w:r w:rsidR="000E76FD" w:rsidRPr="00DB5673">
        <w:t xml:space="preserve"> pa 33,8 let</w:t>
      </w:r>
      <w:r w:rsidR="00DB05EF">
        <w:t>a</w:t>
      </w:r>
      <w:r w:rsidR="000E76FD" w:rsidRPr="00DB5673">
        <w:t>.</w:t>
      </w:r>
      <w:r w:rsidR="000E76FD" w:rsidRPr="006E7431">
        <w:rPr>
          <w:rStyle w:val="FootnoteReference"/>
        </w:rPr>
        <w:footnoteReference w:id="8"/>
      </w:r>
      <w:r w:rsidR="000E76FD" w:rsidRPr="00DB5673">
        <w:t xml:space="preserve"> </w:t>
      </w:r>
      <w:r w:rsidR="00605029">
        <w:t>Le</w:t>
      </w:r>
      <w:r w:rsidR="003A0E50">
        <w:t xml:space="preserve">ta 1982 </w:t>
      </w:r>
      <w:r w:rsidR="00605029">
        <w:t xml:space="preserve">je bilo </w:t>
      </w:r>
      <w:r w:rsidR="003A0E50">
        <w:t>starih m</w:t>
      </w:r>
      <w:r w:rsidR="002C10DF">
        <w:t>ed 20 in 35 let 50,2 % žensk v rodni dobi, leta 202</w:t>
      </w:r>
      <w:r w:rsidR="00BB3B22">
        <w:t>3</w:t>
      </w:r>
      <w:r w:rsidR="002C10DF">
        <w:t xml:space="preserve"> pa 40,</w:t>
      </w:r>
      <w:r w:rsidR="00BB3B22">
        <w:t>4</w:t>
      </w:r>
      <w:r w:rsidR="002C10DF">
        <w:t xml:space="preserve"> %. </w:t>
      </w:r>
      <w:r w:rsidR="00682888">
        <w:t>Število živorojenih na 1000 žensk v rodni dobi (s</w:t>
      </w:r>
      <w:r w:rsidR="00D564E4" w:rsidRPr="00D564E4">
        <w:t>plošna stopnja splošne rodnosti*</w:t>
      </w:r>
      <w:r w:rsidR="00682888">
        <w:t>)</w:t>
      </w:r>
      <w:r w:rsidR="00D564E4" w:rsidRPr="00D564E4">
        <w:t xml:space="preserve"> je v 80</w:t>
      </w:r>
      <w:r w:rsidR="002D0EAD">
        <w:t>.</w:t>
      </w:r>
      <w:r w:rsidR="00D564E4" w:rsidRPr="00D564E4">
        <w:t xml:space="preserve"> letih strmo upadal</w:t>
      </w:r>
      <w:r w:rsidR="00682888">
        <w:t>o</w:t>
      </w:r>
      <w:r w:rsidR="00D564E4" w:rsidRPr="00D564E4">
        <w:t>, po osamosvojitvi pa 15 let stagniral</w:t>
      </w:r>
      <w:r w:rsidR="00682888">
        <w:t>o</w:t>
      </w:r>
      <w:r w:rsidR="00D564E4" w:rsidRPr="00D564E4">
        <w:t xml:space="preserve"> na razmeroma nizki ravni, nato nekaj let naraščal</w:t>
      </w:r>
      <w:r w:rsidR="00682888">
        <w:t>o</w:t>
      </w:r>
      <w:r w:rsidR="00D564E4" w:rsidRPr="00D564E4">
        <w:t xml:space="preserve"> in se po letu 2006 ustalil</w:t>
      </w:r>
      <w:r w:rsidR="001F55AA">
        <w:t>o</w:t>
      </w:r>
      <w:r w:rsidR="00D564E4" w:rsidRPr="00D564E4">
        <w:t xml:space="preserve"> na okoli 45 živorojenih na 1000 žensk v rodni dobi, v prihodnosti pa naj bi se v povprečju malenkost povečal</w:t>
      </w:r>
      <w:r w:rsidR="001F55AA">
        <w:t>o</w:t>
      </w:r>
      <w:r w:rsidR="00D564E4">
        <w:t xml:space="preserve"> (na 47</w:t>
      </w:r>
      <w:r w:rsidR="00D51155">
        <w:t>, gl. sliko 9</w:t>
      </w:r>
      <w:r w:rsidR="00D564E4">
        <w:t>).</w:t>
      </w:r>
      <w:r w:rsidR="00D564E4" w:rsidRPr="00D564E4">
        <w:t xml:space="preserve"> </w:t>
      </w:r>
      <w:r w:rsidR="003A0E50">
        <w:t>Viša se tudi s</w:t>
      </w:r>
      <w:r w:rsidR="002C10DF" w:rsidRPr="00DB5673">
        <w:t>tarost žensk, pri kateri je rojenih največ otrok na 1000 žensk</w:t>
      </w:r>
      <w:r w:rsidR="00605029">
        <w:t xml:space="preserve"> v rodni dobi</w:t>
      </w:r>
      <w:r w:rsidR="00663C02">
        <w:t xml:space="preserve"> (s</w:t>
      </w:r>
      <w:r w:rsidR="00663C02" w:rsidRPr="00663C02">
        <w:t>tarostno-specifična stopnja splošne rodnosti</w:t>
      </w:r>
      <w:r w:rsidR="00663C02">
        <w:t>*)</w:t>
      </w:r>
      <w:r w:rsidR="002C10DF" w:rsidRPr="00DB5673">
        <w:t xml:space="preserve">, </w:t>
      </w:r>
      <w:r w:rsidR="006B7A59">
        <w:t xml:space="preserve">leta 1953 je bila 25 let, </w:t>
      </w:r>
      <w:r w:rsidR="006B7A59" w:rsidRPr="00DB5673">
        <w:t>1000 ženskam te starosti se je rodilo 16</w:t>
      </w:r>
      <w:r w:rsidR="006B7A59">
        <w:t>4</w:t>
      </w:r>
      <w:r w:rsidR="006B7A59" w:rsidRPr="00DB5673">
        <w:t>,</w:t>
      </w:r>
      <w:r w:rsidR="006B7A59">
        <w:t>9</w:t>
      </w:r>
      <w:r w:rsidR="006B7A59" w:rsidRPr="00DB5673">
        <w:t xml:space="preserve"> otrok</w:t>
      </w:r>
      <w:r w:rsidR="00CE35DA">
        <w:t>a</w:t>
      </w:r>
      <w:r w:rsidR="006B7A59">
        <w:t>,</w:t>
      </w:r>
      <w:r w:rsidR="006B7A59" w:rsidRPr="00DB5673">
        <w:t xml:space="preserve"> </w:t>
      </w:r>
      <w:r w:rsidR="00605029" w:rsidRPr="00DB5673">
        <w:t xml:space="preserve">leta 1982 je </w:t>
      </w:r>
      <w:r w:rsidR="0042437B">
        <w:t>bila</w:t>
      </w:r>
      <w:r w:rsidR="00605029" w:rsidRPr="00DB5673">
        <w:t xml:space="preserve"> 22 let, 1000 ženskam te starosti se je rodilo 165,6 otrok</w:t>
      </w:r>
      <w:r w:rsidR="00CE35DA">
        <w:t>a</w:t>
      </w:r>
      <w:r w:rsidR="0042437B">
        <w:t>,</w:t>
      </w:r>
      <w:r w:rsidR="00605029" w:rsidRPr="00DB5673">
        <w:t xml:space="preserve"> </w:t>
      </w:r>
      <w:r w:rsidR="002C10DF" w:rsidRPr="00DB5673">
        <w:t>leta 202</w:t>
      </w:r>
      <w:r w:rsidR="00BB3B22">
        <w:t>2</w:t>
      </w:r>
      <w:r w:rsidR="0042437B">
        <w:t xml:space="preserve"> pa</w:t>
      </w:r>
      <w:r w:rsidR="002C10DF" w:rsidRPr="00DB5673">
        <w:t xml:space="preserve"> 30 let, 1000 ženskam te starosti se je rodilo </w:t>
      </w:r>
      <w:r w:rsidR="00841CE5">
        <w:t>126</w:t>
      </w:r>
      <w:r w:rsidR="002C10DF" w:rsidRPr="00DB5673">
        <w:t>,</w:t>
      </w:r>
      <w:r w:rsidR="00841CE5">
        <w:t>8</w:t>
      </w:r>
      <w:r w:rsidR="002C10DF" w:rsidRPr="00DB5673">
        <w:t xml:space="preserve"> otrok</w:t>
      </w:r>
      <w:r w:rsidR="00CE35DA">
        <w:t>a</w:t>
      </w:r>
      <w:r w:rsidR="002C10DF" w:rsidRPr="00DB5673">
        <w:t xml:space="preserve">. </w:t>
      </w:r>
    </w:p>
    <w:p w14:paraId="064CCA03" w14:textId="0FD7FA71" w:rsidR="00EF3BCD" w:rsidRDefault="00EF3BCD" w:rsidP="00B84C29">
      <w:pPr>
        <w:pStyle w:val="Caption"/>
      </w:pPr>
      <w:bookmarkStart w:id="39" w:name="_Toc146283028"/>
      <w:bookmarkEnd w:id="38"/>
      <w:r>
        <w:lastRenderedPageBreak/>
        <w:t xml:space="preserve">Slika </w:t>
      </w:r>
      <w:r>
        <w:fldChar w:fldCharType="begin"/>
      </w:r>
      <w:r>
        <w:instrText xml:space="preserve"> SEQ Slika \* ARABIC </w:instrText>
      </w:r>
      <w:r>
        <w:fldChar w:fldCharType="separate"/>
      </w:r>
      <w:r w:rsidR="00B3724D">
        <w:t>9</w:t>
      </w:r>
      <w:r>
        <w:fldChar w:fldCharType="end"/>
      </w:r>
      <w:r>
        <w:t>:</w:t>
      </w:r>
      <w:r w:rsidR="00AC73D9">
        <w:t xml:space="preserve"> </w:t>
      </w:r>
      <w:r w:rsidR="00B66854" w:rsidRPr="00A0141F">
        <w:t>Splošna stopnja</w:t>
      </w:r>
      <w:r w:rsidR="006A526C" w:rsidRPr="007E0D40">
        <w:t xml:space="preserve"> splošne</w:t>
      </w:r>
      <w:r w:rsidR="00B66854" w:rsidRPr="00A0141F">
        <w:t xml:space="preserve"> rodnosti je </w:t>
      </w:r>
      <w:r w:rsidR="009125E3" w:rsidRPr="007E0D40">
        <w:t>začela</w:t>
      </w:r>
      <w:r w:rsidR="00B66854" w:rsidRPr="00A0141F">
        <w:t xml:space="preserve"> v 80</w:t>
      </w:r>
      <w:r w:rsidR="00C5504D">
        <w:t>.</w:t>
      </w:r>
      <w:r w:rsidR="00B66854" w:rsidRPr="00A0141F">
        <w:t xml:space="preserve"> </w:t>
      </w:r>
      <w:r w:rsidR="006A526C" w:rsidRPr="007E0D40">
        <w:t>letih prejšnjega stoletja</w:t>
      </w:r>
      <w:r w:rsidR="009125E3" w:rsidRPr="007E0D40">
        <w:t xml:space="preserve"> upadati</w:t>
      </w:r>
      <w:r w:rsidR="00A0141F" w:rsidRPr="00A0141F">
        <w:t>, dolgoročno bo zna</w:t>
      </w:r>
      <w:r w:rsidR="00A0141F">
        <w:t>šala 47 živorojenih na 1000 žensk v rodni dobi</w:t>
      </w:r>
      <w:bookmarkEnd w:id="39"/>
    </w:p>
    <w:p w14:paraId="4AEE881E" w14:textId="2F73704A" w:rsidR="00EF3BCD" w:rsidRDefault="00F801ED" w:rsidP="00EF3BCD">
      <w:pPr>
        <w:pStyle w:val="BesediloUMAR"/>
      </w:pPr>
      <w:r w:rsidRPr="00F801ED">
        <w:rPr>
          <w:noProof/>
        </w:rPr>
        <w:drawing>
          <wp:inline distT="0" distB="0" distL="0" distR="0" wp14:anchorId="389E0120" wp14:editId="001F24C7">
            <wp:extent cx="5759450" cy="20955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2095555"/>
                    </a:xfrm>
                    <a:prstGeom prst="rect">
                      <a:avLst/>
                    </a:prstGeom>
                    <a:noFill/>
                    <a:ln>
                      <a:noFill/>
                    </a:ln>
                  </pic:spPr>
                </pic:pic>
              </a:graphicData>
            </a:graphic>
          </wp:inline>
        </w:drawing>
      </w:r>
    </w:p>
    <w:p w14:paraId="73BE3F02" w14:textId="45D28683" w:rsidR="00970FC8" w:rsidRPr="00F801ED" w:rsidRDefault="00970FC8" w:rsidP="00F801ED">
      <w:pPr>
        <w:pStyle w:val="VirUMAR"/>
      </w:pPr>
      <w:r w:rsidRPr="00F801ED">
        <w:t xml:space="preserve">Vir: </w:t>
      </w:r>
      <w:r w:rsidRPr="00F801ED">
        <w:fldChar w:fldCharType="begin"/>
      </w:r>
      <w:r w:rsidRPr="00F801ED">
        <w:instrText xml:space="preserve"> ADDIN ZOTERO_ITEM CSL_CITATION {"citationID":"BISLPIyj","properties":{"custom":"SURS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rsidRPr="00F801ED">
        <w:fldChar w:fldCharType="separate"/>
      </w:r>
      <w:r w:rsidRPr="00F801ED">
        <w:t>SURS (2023),</w:t>
      </w:r>
      <w:r w:rsidRPr="00F801ED">
        <w:fldChar w:fldCharType="end"/>
      </w:r>
      <w:r w:rsidRPr="00F801ED">
        <w:t xml:space="preserve"> </w:t>
      </w:r>
      <w:r w:rsidRPr="00F801ED">
        <w:fldChar w:fldCharType="begin"/>
      </w:r>
      <w:r w:rsidRPr="00F801ED">
        <w:instrText xml:space="preserve"> ADDIN ZOTERO_ITEM CSL_CITATION {"citationID":"6dch6fwV","properties":{"custom":"Eurostat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F801ED">
        <w:fldChar w:fldCharType="separate"/>
      </w:r>
      <w:r w:rsidRPr="00F801ED">
        <w:t>Eurostat (2023a)</w:t>
      </w:r>
      <w:r w:rsidRPr="00F801ED">
        <w:fldChar w:fldCharType="end"/>
      </w:r>
      <w:r w:rsidRPr="00F801ED">
        <w:t>, preračuni UMAR.</w:t>
      </w:r>
    </w:p>
    <w:p w14:paraId="387F2D7A" w14:textId="77777777" w:rsidR="00F801ED" w:rsidRDefault="00F801ED" w:rsidP="00F801ED">
      <w:pPr>
        <w:pStyle w:val="VirUMAR"/>
      </w:pPr>
    </w:p>
    <w:p w14:paraId="5153DA31" w14:textId="7A32DA40" w:rsidR="000D6DEF" w:rsidRDefault="00FA318B" w:rsidP="00B84C29">
      <w:pPr>
        <w:pStyle w:val="Caption"/>
      </w:pPr>
      <w:bookmarkStart w:id="40" w:name="_Ref138759288"/>
      <w:bookmarkStart w:id="41" w:name="_Toc146283029"/>
      <w:r w:rsidRPr="00F71376">
        <w:t xml:space="preserve">Slika </w:t>
      </w:r>
      <w:r w:rsidRPr="00F71376">
        <w:fldChar w:fldCharType="begin"/>
      </w:r>
      <w:r w:rsidRPr="00F71376">
        <w:instrText xml:space="preserve"> SEQ Slika \* ARABIC </w:instrText>
      </w:r>
      <w:r w:rsidRPr="00F71376">
        <w:fldChar w:fldCharType="separate"/>
      </w:r>
      <w:r w:rsidR="00B3724D">
        <w:t>10</w:t>
      </w:r>
      <w:r w:rsidRPr="00F71376">
        <w:fldChar w:fldCharType="end"/>
      </w:r>
      <w:bookmarkEnd w:id="40"/>
      <w:r w:rsidRPr="00F71376">
        <w:t>:</w:t>
      </w:r>
      <w:r w:rsidR="00AC73D9" w:rsidRPr="00F71376">
        <w:t xml:space="preserve"> </w:t>
      </w:r>
      <w:r w:rsidR="00F71376" w:rsidRPr="00F71376">
        <w:t>Od leta 2011 je v Sloveniji</w:t>
      </w:r>
      <w:r w:rsidR="007052CF">
        <w:t xml:space="preserve"> </w:t>
      </w:r>
      <w:r w:rsidR="00F71376" w:rsidRPr="00F71376">
        <w:t>celotn</w:t>
      </w:r>
      <w:r w:rsidR="007052CF">
        <w:t>a stopnja</w:t>
      </w:r>
      <w:r w:rsidR="00F71376" w:rsidRPr="00F71376">
        <w:t xml:space="preserve"> rodnosti višja kot v povprečju EU-27, prav tako je nižja povprečna starost matere ob rojstvu otrok</w:t>
      </w:r>
      <w:bookmarkEnd w:id="41"/>
    </w:p>
    <w:p w14:paraId="0547CFB8" w14:textId="18A82263" w:rsidR="001D2CFC" w:rsidRPr="00F801ED" w:rsidRDefault="00EC7A4A" w:rsidP="000D324B">
      <w:pPr>
        <w:pStyle w:val="BesediloUMAR"/>
        <w:rPr>
          <w:b/>
          <w:bCs/>
          <w:noProof/>
          <w:szCs w:val="20"/>
        </w:rPr>
      </w:pPr>
      <w:r w:rsidRPr="00EC7A4A">
        <w:rPr>
          <w:noProof/>
        </w:rPr>
        <w:drawing>
          <wp:inline distT="0" distB="0" distL="0" distR="0" wp14:anchorId="1CE83376" wp14:editId="18A24B0C">
            <wp:extent cx="2786400" cy="2325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6400" cy="2325600"/>
                    </a:xfrm>
                    <a:prstGeom prst="rect">
                      <a:avLst/>
                    </a:prstGeom>
                    <a:noFill/>
                    <a:ln>
                      <a:noFill/>
                    </a:ln>
                  </pic:spPr>
                </pic:pic>
              </a:graphicData>
            </a:graphic>
          </wp:inline>
        </w:drawing>
      </w:r>
      <w:r>
        <w:rPr>
          <w:b/>
          <w:bCs/>
          <w:noProof/>
          <w:szCs w:val="20"/>
        </w:rPr>
        <w:t xml:space="preserve">       </w:t>
      </w:r>
      <w:r w:rsidRPr="00EC7A4A">
        <w:rPr>
          <w:noProof/>
        </w:rPr>
        <w:drawing>
          <wp:inline distT="0" distB="0" distL="0" distR="0" wp14:anchorId="1787FCE5" wp14:editId="053BF9D9">
            <wp:extent cx="2775600" cy="226800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00EBB38F" w14:textId="0885DDB7" w:rsidR="00970FC8" w:rsidRDefault="00970FC8" w:rsidP="00F801ED">
      <w:pPr>
        <w:pStyle w:val="VirUMAR"/>
      </w:pPr>
      <w:r w:rsidRPr="00482410">
        <w:t xml:space="preserve">Vir: </w:t>
      </w:r>
      <w:r>
        <w:fldChar w:fldCharType="begin"/>
      </w:r>
      <w:r w:rsidR="00CB4EF9">
        <w:instrText xml:space="preserve"> ADDIN ZOTERO_ITEM CSL_CITATION {"citationID":"jItk0asv","properties":{"custom":"Eurostat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fldChar w:fldCharType="separate"/>
      </w:r>
      <w:r w:rsidRPr="0041067E">
        <w:t>Eurostat (2023a)</w:t>
      </w:r>
      <w:r>
        <w:fldChar w:fldCharType="end"/>
      </w:r>
      <w:r>
        <w:t>.</w:t>
      </w:r>
    </w:p>
    <w:p w14:paraId="23FDEA3D" w14:textId="77777777" w:rsidR="00970FC8" w:rsidRDefault="00970FC8" w:rsidP="000D324B">
      <w:pPr>
        <w:pStyle w:val="BesediloUMAR"/>
      </w:pPr>
    </w:p>
    <w:p w14:paraId="7CB44934" w14:textId="4900E6B9" w:rsidR="003B5F1A" w:rsidRDefault="000D324B" w:rsidP="000D324B">
      <w:pPr>
        <w:pStyle w:val="Heading2"/>
      </w:pPr>
      <w:bookmarkStart w:id="42" w:name="_Toc146283014"/>
      <w:r>
        <w:t>Umrljivost</w:t>
      </w:r>
      <w:bookmarkEnd w:id="42"/>
    </w:p>
    <w:bookmarkEnd w:id="36"/>
    <w:p w14:paraId="62EBDDA7" w14:textId="7D50F861" w:rsidR="004E10E4" w:rsidRDefault="00553881" w:rsidP="003E597F">
      <w:pPr>
        <w:pStyle w:val="BesediloUMAR"/>
      </w:pPr>
      <w:r w:rsidRPr="00553881">
        <w:rPr>
          <w:rStyle w:val="VodilnistavekUMAR"/>
        </w:rPr>
        <w:t xml:space="preserve">V projekcijah je predpostavljeno nadaljnje podaljševanje pričakovanega trajanja življenja ob rojstvu, in sicer nekoliko hitreje pri moških, kjer je nižje, kot pri ženskah. </w:t>
      </w:r>
      <w:r w:rsidRPr="00D66B1D">
        <w:t xml:space="preserve">Leta 2100 </w:t>
      </w:r>
      <w:r w:rsidR="000E47BD">
        <w:t>rojena deklica bi</w:t>
      </w:r>
      <w:r w:rsidRPr="00D66B1D">
        <w:t xml:space="preserve"> ob rojstvu lahko pričakoval</w:t>
      </w:r>
      <w:r w:rsidR="000E47BD">
        <w:t>a</w:t>
      </w:r>
      <w:r w:rsidRPr="00D66B1D">
        <w:t xml:space="preserve"> 93,3 let</w:t>
      </w:r>
      <w:r w:rsidR="00CC75A7">
        <w:t>a</w:t>
      </w:r>
      <w:r w:rsidRPr="00D66B1D">
        <w:t xml:space="preserve"> življenja, </w:t>
      </w:r>
      <w:r w:rsidR="000E47BD">
        <w:t>deček</w:t>
      </w:r>
      <w:r w:rsidRPr="00D66B1D">
        <w:t xml:space="preserve"> pa 89,4 let</w:t>
      </w:r>
      <w:r w:rsidR="003C2BBE">
        <w:t>a</w:t>
      </w:r>
      <w:r w:rsidRPr="00D66B1D">
        <w:t xml:space="preserve"> (tj. 8,9 oz. 10,9 let</w:t>
      </w:r>
      <w:r w:rsidR="003C2BBE">
        <w:t>a</w:t>
      </w:r>
      <w:r w:rsidRPr="00D66B1D">
        <w:t xml:space="preserve"> več kot leta 2022). Ženske bodo tako lahko v povprečju še naprej pričakovale več let življenja kot moški, razlika v </w:t>
      </w:r>
      <w:r w:rsidR="0056571A">
        <w:t>pričakovanem trajanju življenja</w:t>
      </w:r>
      <w:r w:rsidRPr="00D66B1D">
        <w:t xml:space="preserve"> med ženskami in moškimi pa naj bi se do leta 2100 zmanjšala na 3,9 let</w:t>
      </w:r>
      <w:r w:rsidR="003C2BBE">
        <w:t>a</w:t>
      </w:r>
      <w:r w:rsidRPr="00D66B1D">
        <w:t xml:space="preserve"> </w:t>
      </w:r>
      <w:r w:rsidRPr="00C10BC2">
        <w:t>(razlika je leta 1991 znašala 8 let, leta 2022 pa 5,9 let</w:t>
      </w:r>
      <w:r w:rsidR="003C2BBE">
        <w:t>a</w:t>
      </w:r>
      <w:r w:rsidRPr="00C10BC2">
        <w:t>).</w:t>
      </w:r>
      <w:r w:rsidRPr="00D66B1D">
        <w:t xml:space="preserve"> </w:t>
      </w:r>
      <w:r w:rsidR="003E597F" w:rsidRPr="004E10E4">
        <w:t xml:space="preserve">Trend zmanjševanja razlike </w:t>
      </w:r>
      <w:r w:rsidR="0056571A">
        <w:t>med spoloma</w:t>
      </w:r>
      <w:r w:rsidR="003E597F" w:rsidRPr="004E10E4">
        <w:t xml:space="preserve">, ki se je v letih epidemije covid-19 in </w:t>
      </w:r>
      <w:r w:rsidR="00AC67B5">
        <w:t xml:space="preserve">se bo </w:t>
      </w:r>
      <w:r w:rsidR="003E597F" w:rsidRPr="004E10E4">
        <w:t xml:space="preserve">predvideno tudi nekaj let po njej začasno prekinil, </w:t>
      </w:r>
      <w:r w:rsidR="00AC67B5">
        <w:t>naj bi se</w:t>
      </w:r>
      <w:r w:rsidR="003E597F" w:rsidRPr="004E10E4">
        <w:t>, sicer počasneje, nadaljeval</w:t>
      </w:r>
      <w:r w:rsidR="00AC67B5">
        <w:t>.</w:t>
      </w:r>
      <w:r w:rsidR="003E597F" w:rsidRPr="004E10E4">
        <w:t xml:space="preserve"> </w:t>
      </w:r>
      <w:r w:rsidR="00AC67B5">
        <w:t>O</w:t>
      </w:r>
      <w:r w:rsidR="003E597F" w:rsidRPr="004E10E4">
        <w:t>cenjujemo, da zaradi nadaljnjega zmanjševanja nekaterih zdravstvenih dejavnikov tveganja in izboljševanja življenjskega sloga moških.</w:t>
      </w:r>
    </w:p>
    <w:p w14:paraId="5CC7FAED" w14:textId="48570BF9" w:rsidR="005E2F31" w:rsidRDefault="005E2F31" w:rsidP="00B84C29">
      <w:pPr>
        <w:pStyle w:val="Caption"/>
      </w:pPr>
      <w:bookmarkStart w:id="43" w:name="_Toc146283030"/>
      <w:r>
        <w:lastRenderedPageBreak/>
        <w:t xml:space="preserve">Slika </w:t>
      </w:r>
      <w:r>
        <w:fldChar w:fldCharType="begin"/>
      </w:r>
      <w:r>
        <w:instrText xml:space="preserve"> SEQ Slika \* ARABIC </w:instrText>
      </w:r>
      <w:r>
        <w:fldChar w:fldCharType="separate"/>
      </w:r>
      <w:r w:rsidR="00B3724D">
        <w:t>11</w:t>
      </w:r>
      <w:r>
        <w:fldChar w:fldCharType="end"/>
      </w:r>
      <w:r>
        <w:t xml:space="preserve">: </w:t>
      </w:r>
      <w:r w:rsidR="00EC62E5" w:rsidRPr="00EC62E5">
        <w:t>L</w:t>
      </w:r>
      <w:r w:rsidR="00BF5994" w:rsidRPr="00EC62E5">
        <w:t>eta 2100 naj bi bilo pričakovano trajanje življenja</w:t>
      </w:r>
      <w:r w:rsidR="00EC62E5" w:rsidRPr="00EC62E5">
        <w:t xml:space="preserve"> ob rojstvu</w:t>
      </w:r>
      <w:r w:rsidR="00BF5994" w:rsidRPr="00EC62E5">
        <w:t xml:space="preserve"> </w:t>
      </w:r>
      <w:r w:rsidR="00EC62E5" w:rsidRPr="00EC62E5">
        <w:t xml:space="preserve">v primerjavi z letom 2022 </w:t>
      </w:r>
      <w:r w:rsidR="00BF5994" w:rsidRPr="00EC62E5">
        <w:t>daljše za</w:t>
      </w:r>
      <w:r w:rsidR="00EC62E5" w:rsidRPr="00EC62E5">
        <w:t xml:space="preserve"> </w:t>
      </w:r>
      <w:r w:rsidR="00EC62E5" w:rsidRPr="009D624E">
        <w:t>desetletje</w:t>
      </w:r>
      <w:r w:rsidR="00A806EF" w:rsidRPr="009D624E">
        <w:t>, pri</w:t>
      </w:r>
      <w:r w:rsidR="009D624E" w:rsidRPr="009D624E">
        <w:t>bližno za toliko pa se je povečalo tudi v zadnjih 40 letih</w:t>
      </w:r>
      <w:bookmarkEnd w:id="43"/>
    </w:p>
    <w:p w14:paraId="700A78C4" w14:textId="47784E11" w:rsidR="005E2F31" w:rsidRDefault="00831A62" w:rsidP="000D324B">
      <w:pPr>
        <w:pStyle w:val="BesediloUMAR"/>
      </w:pPr>
      <w:r w:rsidRPr="00831A62">
        <w:rPr>
          <w:noProof/>
        </w:rPr>
        <w:drawing>
          <wp:inline distT="0" distB="0" distL="0" distR="0" wp14:anchorId="20380AEE" wp14:editId="0CC9BDB1">
            <wp:extent cx="5759450" cy="2095269"/>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2095269"/>
                    </a:xfrm>
                    <a:prstGeom prst="rect">
                      <a:avLst/>
                    </a:prstGeom>
                    <a:noFill/>
                    <a:ln>
                      <a:noFill/>
                    </a:ln>
                  </pic:spPr>
                </pic:pic>
              </a:graphicData>
            </a:graphic>
          </wp:inline>
        </w:drawing>
      </w:r>
    </w:p>
    <w:p w14:paraId="63C7EF8F" w14:textId="2A15508B" w:rsidR="00970FC8" w:rsidRDefault="00970FC8" w:rsidP="00F801ED">
      <w:pPr>
        <w:pStyle w:val="VirUMAR"/>
      </w:pPr>
      <w:r w:rsidRPr="00482410">
        <w:t xml:space="preserve">Vir: </w:t>
      </w:r>
      <w:r>
        <w:fldChar w:fldCharType="begin"/>
      </w:r>
      <w:r w:rsidR="00CB4EF9">
        <w:instrText xml:space="preserve"> ADDIN ZOTERO_ITEM CSL_CITATION {"citationID":"E6YNUn0c","properties":{"custom":"Eurostat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fldChar w:fldCharType="separate"/>
      </w:r>
      <w:r w:rsidRPr="0041067E">
        <w:t>Eurostat (2023a)</w:t>
      </w:r>
      <w:r>
        <w:fldChar w:fldCharType="end"/>
      </w:r>
      <w:r>
        <w:t>.</w:t>
      </w:r>
    </w:p>
    <w:p w14:paraId="0EBFA4DD" w14:textId="77777777" w:rsidR="00831A62" w:rsidRDefault="00831A62" w:rsidP="00F801ED">
      <w:pPr>
        <w:pStyle w:val="VirUMAR"/>
      </w:pPr>
    </w:p>
    <w:p w14:paraId="4034829E" w14:textId="77777777" w:rsidR="005E2F31" w:rsidRDefault="005E2F31" w:rsidP="000D324B">
      <w:pPr>
        <w:pStyle w:val="BesediloUMAR"/>
      </w:pPr>
    </w:p>
    <w:p w14:paraId="2B694B60" w14:textId="7DD8BBB1" w:rsidR="00AC0E58" w:rsidRPr="0098221B" w:rsidRDefault="00AC0E58" w:rsidP="00AC0E58">
      <w:pPr>
        <w:pStyle w:val="BesediloUMAR"/>
      </w:pPr>
      <w:r w:rsidRPr="00287615">
        <w:rPr>
          <w:rStyle w:val="VodilnistavekUMAR"/>
        </w:rPr>
        <w:t xml:space="preserve">Pričakovano trajanje življenja ob rojstvu se </w:t>
      </w:r>
      <w:r w:rsidR="00287615" w:rsidRPr="00287615">
        <w:rPr>
          <w:rStyle w:val="VodilnistavekUMAR"/>
        </w:rPr>
        <w:t xml:space="preserve">je </w:t>
      </w:r>
      <w:r w:rsidRPr="00287615">
        <w:rPr>
          <w:rStyle w:val="VodilnistavekUMAR"/>
        </w:rPr>
        <w:t xml:space="preserve">po krajši stagnaciji </w:t>
      </w:r>
      <w:r w:rsidR="008D6EBB">
        <w:rPr>
          <w:rStyle w:val="VodilnistavekUMAR"/>
        </w:rPr>
        <w:t>v</w:t>
      </w:r>
      <w:r w:rsidRPr="00287615">
        <w:rPr>
          <w:rStyle w:val="VodilnistavekUMAR"/>
        </w:rPr>
        <w:t xml:space="preserve"> začetku tranzicijskega obdobja od sredine 90</w:t>
      </w:r>
      <w:r w:rsidR="00F81F08">
        <w:rPr>
          <w:rStyle w:val="VodilnistavekUMAR"/>
        </w:rPr>
        <w:t>.</w:t>
      </w:r>
      <w:r w:rsidRPr="00287615">
        <w:rPr>
          <w:rStyle w:val="VodilnistavekUMAR"/>
        </w:rPr>
        <w:t xml:space="preserve"> let </w:t>
      </w:r>
      <w:r w:rsidR="00AC67B5">
        <w:rPr>
          <w:rStyle w:val="VodilnistavekUMAR"/>
        </w:rPr>
        <w:t>naprej</w:t>
      </w:r>
      <w:r w:rsidR="007D4259">
        <w:rPr>
          <w:rStyle w:val="VodilnistavekUMAR"/>
        </w:rPr>
        <w:t xml:space="preserve"> </w:t>
      </w:r>
      <w:r w:rsidRPr="00287615">
        <w:rPr>
          <w:rStyle w:val="VodilnistavekUMAR"/>
        </w:rPr>
        <w:t>poveč</w:t>
      </w:r>
      <w:r w:rsidR="00287615" w:rsidRPr="00287615">
        <w:rPr>
          <w:rStyle w:val="VodilnistavekUMAR"/>
        </w:rPr>
        <w:t>evalo do epidemije covid</w:t>
      </w:r>
      <w:r w:rsidR="0056571A">
        <w:rPr>
          <w:rStyle w:val="VodilnistavekUMAR"/>
        </w:rPr>
        <w:t>a</w:t>
      </w:r>
      <w:r w:rsidR="00287615" w:rsidRPr="00287615">
        <w:rPr>
          <w:rStyle w:val="VodilnistavekUMAR"/>
        </w:rPr>
        <w:t>-19</w:t>
      </w:r>
      <w:r w:rsidRPr="00287615">
        <w:rPr>
          <w:rStyle w:val="VodilnistavekUMAR"/>
        </w:rPr>
        <w:t>.</w:t>
      </w:r>
      <w:r>
        <w:t xml:space="preserve"> </w:t>
      </w:r>
      <w:r w:rsidR="007E7C0C">
        <w:t>Podaljševanje življenjske dobe je privedlo tudi do sprememb v starostni strukturi prebivalcev. Pričakovano trajanje življenja je v Sloveniji</w:t>
      </w:r>
      <w:r w:rsidR="007E7C0C" w:rsidRPr="006E7431">
        <w:rPr>
          <w:rStyle w:val="FootnoteReference"/>
        </w:rPr>
        <w:footnoteReference w:id="9"/>
      </w:r>
      <w:r w:rsidR="007E7C0C">
        <w:t xml:space="preserve"> leta 2021 doseglo 80,</w:t>
      </w:r>
      <w:r w:rsidR="007E7C0C" w:rsidRPr="00522161">
        <w:t>9 let</w:t>
      </w:r>
      <w:r w:rsidR="008D6EBB" w:rsidRPr="00974F0E">
        <w:t>a</w:t>
      </w:r>
      <w:r w:rsidR="007E7C0C" w:rsidRPr="00974F0E">
        <w:t>, 9,7</w:t>
      </w:r>
      <w:r w:rsidR="007E7C0C">
        <w:t xml:space="preserve"> let</w:t>
      </w:r>
      <w:r w:rsidR="008D6EBB">
        <w:t>a</w:t>
      </w:r>
      <w:r w:rsidR="007E7C0C">
        <w:t xml:space="preserve"> več kot leta 1982. Za moške je bilo 77,9 let</w:t>
      </w:r>
      <w:r w:rsidR="003C2BBE">
        <w:t>a</w:t>
      </w:r>
      <w:r w:rsidR="007E7C0C">
        <w:t xml:space="preserve"> in se je podaljšalo za 10,9 let</w:t>
      </w:r>
      <w:r w:rsidR="003C2BBE">
        <w:t>a</w:t>
      </w:r>
      <w:r w:rsidR="007E7C0C">
        <w:t>, za ženske pa 84 let in je bilo za 8,7 let</w:t>
      </w:r>
      <w:r w:rsidR="008D6EBB">
        <w:t>a</w:t>
      </w:r>
      <w:r w:rsidR="007E7C0C">
        <w:t xml:space="preserve"> daljše kot </w:t>
      </w:r>
      <w:r w:rsidR="0005033A">
        <w:t xml:space="preserve">leta </w:t>
      </w:r>
      <w:r w:rsidR="007E7C0C">
        <w:t xml:space="preserve">1982. Razlika med spoloma, ki je </w:t>
      </w:r>
      <w:r w:rsidR="004E58B0">
        <w:t>bila</w:t>
      </w:r>
      <w:r w:rsidR="007E7C0C">
        <w:t xml:space="preserve"> leta 1982 8,3 let</w:t>
      </w:r>
      <w:r w:rsidR="00974F0E">
        <w:t>a</w:t>
      </w:r>
      <w:r w:rsidR="007E7C0C">
        <w:t xml:space="preserve"> se je zmanjšala na </w:t>
      </w:r>
      <w:r w:rsidR="00741410">
        <w:br/>
      </w:r>
      <w:r w:rsidR="007E7C0C">
        <w:t>6,1</w:t>
      </w:r>
      <w:r w:rsidR="00A30E32">
        <w:t xml:space="preserve"> leta</w:t>
      </w:r>
      <w:r w:rsidR="007E7C0C">
        <w:t xml:space="preserve">. </w:t>
      </w:r>
      <w:r>
        <w:t>Zmanjšanje vrzeli med moškimi in ženskami lahko v večini držav vsaj delno pripišemo zmanjšanju razlik v tveganih življenjskih slogih (npr. kajenje) in manjši umrljivosti moških zaradi srčno−žilnih obolenj</w:t>
      </w:r>
      <w:r w:rsidRPr="004C29EC">
        <w:t xml:space="preserve">. </w:t>
      </w:r>
      <w:r w:rsidR="0098221B" w:rsidRPr="0098221B">
        <w:t xml:space="preserve">Povprečna starost umrlih </w:t>
      </w:r>
      <w:r w:rsidR="00744E01">
        <w:t>je bila leta</w:t>
      </w:r>
      <w:r w:rsidR="0098221B" w:rsidRPr="0098221B">
        <w:t xml:space="preserve"> </w:t>
      </w:r>
      <w:r w:rsidR="00744E01" w:rsidRPr="0098221B">
        <w:t>202</w:t>
      </w:r>
      <w:r w:rsidR="00744E01">
        <w:t>2</w:t>
      </w:r>
      <w:r w:rsidR="00744E01" w:rsidRPr="0098221B">
        <w:t xml:space="preserve"> (78,7 let</w:t>
      </w:r>
      <w:r w:rsidR="00744E01">
        <w:t>a</w:t>
      </w:r>
      <w:r w:rsidR="00744E01" w:rsidRPr="0098221B">
        <w:t>)</w:t>
      </w:r>
      <w:r w:rsidR="00744E01">
        <w:t xml:space="preserve"> </w:t>
      </w:r>
      <w:r w:rsidR="00301B00">
        <w:t>v primerjavi z letom 1982</w:t>
      </w:r>
      <w:r w:rsidR="00DC2563">
        <w:t xml:space="preserve"> (67,4 leta)</w:t>
      </w:r>
      <w:r w:rsidR="00301B00">
        <w:t xml:space="preserve"> višja </w:t>
      </w:r>
      <w:r w:rsidR="00301B00" w:rsidRPr="0098221B">
        <w:t>za 1</w:t>
      </w:r>
      <w:r w:rsidR="00301B00">
        <w:t>1</w:t>
      </w:r>
      <w:r w:rsidR="00301B00" w:rsidRPr="0098221B">
        <w:t>,</w:t>
      </w:r>
      <w:r w:rsidR="00301B00">
        <w:t>3</w:t>
      </w:r>
      <w:r w:rsidR="00301B00" w:rsidRPr="0098221B">
        <w:t xml:space="preserve"> let</w:t>
      </w:r>
      <w:r w:rsidR="00301B00">
        <w:t>a</w:t>
      </w:r>
      <w:r w:rsidR="0098221B" w:rsidRPr="0098221B">
        <w:t>, pri moških (74,9 let</w:t>
      </w:r>
      <w:r w:rsidR="00974F0E">
        <w:t>a</w:t>
      </w:r>
      <w:r w:rsidR="0098221B" w:rsidRPr="0098221B">
        <w:t xml:space="preserve">) </w:t>
      </w:r>
      <w:r w:rsidR="00574984">
        <w:t>za 11,2 leta</w:t>
      </w:r>
      <w:r w:rsidR="0098221B" w:rsidRPr="0098221B">
        <w:t xml:space="preserve">, pri ženskah </w:t>
      </w:r>
      <w:r w:rsidR="00552156" w:rsidRPr="0098221B">
        <w:t>(82,5</w:t>
      </w:r>
      <w:r w:rsidR="00552156">
        <w:t xml:space="preserve"> leta</w:t>
      </w:r>
      <w:r w:rsidR="00552156" w:rsidRPr="0098221B">
        <w:t>)</w:t>
      </w:r>
      <w:r w:rsidR="00552156">
        <w:t xml:space="preserve"> </w:t>
      </w:r>
      <w:r w:rsidR="0098221B" w:rsidRPr="0098221B">
        <w:t xml:space="preserve">pa za </w:t>
      </w:r>
      <w:r w:rsidR="00574984">
        <w:t>10,2 leta</w:t>
      </w:r>
      <w:r w:rsidR="00FD6AAE">
        <w:t>. V</w:t>
      </w:r>
      <w:r w:rsidR="0098221B" w:rsidRPr="0098221B">
        <w:t xml:space="preserve"> primerjavi z letom 1954</w:t>
      </w:r>
      <w:r w:rsidR="00DC2563">
        <w:t xml:space="preserve"> (57,2 leta)</w:t>
      </w:r>
      <w:r w:rsidR="0098221B" w:rsidRPr="0098221B">
        <w:t xml:space="preserve"> je bila </w:t>
      </w:r>
      <w:r w:rsidR="00FD6AAE">
        <w:t>p</w:t>
      </w:r>
      <w:r w:rsidR="00FD6AAE" w:rsidRPr="0098221B">
        <w:t xml:space="preserve">ovprečna starost umrlih </w:t>
      </w:r>
      <w:r w:rsidR="0098221B" w:rsidRPr="0098221B">
        <w:t>višja kar za 21,5 let</w:t>
      </w:r>
      <w:r w:rsidR="00974F0E">
        <w:t>a</w:t>
      </w:r>
      <w:r w:rsidR="0098221B" w:rsidRPr="0098221B">
        <w:t>.</w:t>
      </w:r>
    </w:p>
    <w:p w14:paraId="2A1E4A35" w14:textId="4BB886B4" w:rsidR="0098221B" w:rsidRPr="0098221B" w:rsidRDefault="00A3122C" w:rsidP="00B84C29">
      <w:pPr>
        <w:pStyle w:val="Caption"/>
      </w:pPr>
      <w:bookmarkStart w:id="44" w:name="_Ref138770413"/>
      <w:bookmarkStart w:id="45" w:name="_Toc146283031"/>
      <w:r w:rsidRPr="0098221B">
        <w:t xml:space="preserve">Slika </w:t>
      </w:r>
      <w:r w:rsidRPr="0098221B">
        <w:fldChar w:fldCharType="begin"/>
      </w:r>
      <w:r w:rsidRPr="0098221B">
        <w:instrText xml:space="preserve"> SEQ Slika \* ARABIC </w:instrText>
      </w:r>
      <w:r w:rsidRPr="0098221B">
        <w:fldChar w:fldCharType="separate"/>
      </w:r>
      <w:r w:rsidR="00B3724D">
        <w:t>12</w:t>
      </w:r>
      <w:r w:rsidRPr="0098221B">
        <w:fldChar w:fldCharType="end"/>
      </w:r>
      <w:bookmarkEnd w:id="44"/>
      <w:r w:rsidRPr="0098221B">
        <w:t xml:space="preserve">: </w:t>
      </w:r>
      <w:r w:rsidR="00A558E0" w:rsidRPr="0098221B">
        <w:t xml:space="preserve">Povprečna starost umrlih se je v obdobju 1954–1983, torej v 29 letih, povečala za 11 let, </w:t>
      </w:r>
      <w:r w:rsidR="00026330">
        <w:t>povečanje</w:t>
      </w:r>
      <w:r w:rsidR="00DD43EB">
        <w:t xml:space="preserve"> za </w:t>
      </w:r>
      <w:r w:rsidR="00A558E0" w:rsidRPr="0098221B">
        <w:t xml:space="preserve">naslednjih 11 let pa je </w:t>
      </w:r>
      <w:r w:rsidR="003C716F">
        <w:t>trajalo</w:t>
      </w:r>
      <w:r w:rsidR="003C716F" w:rsidRPr="0098221B">
        <w:t xml:space="preserve"> </w:t>
      </w:r>
      <w:r w:rsidR="00A558E0" w:rsidRPr="0098221B">
        <w:t>37 let (do leta 2020)</w:t>
      </w:r>
      <w:bookmarkEnd w:id="45"/>
    </w:p>
    <w:p w14:paraId="3076EC41" w14:textId="67ED179B" w:rsidR="00A3122C" w:rsidRDefault="00656A35" w:rsidP="000D324B">
      <w:pPr>
        <w:pStyle w:val="BesediloUMAR"/>
      </w:pPr>
      <w:r w:rsidRPr="00656A35">
        <w:rPr>
          <w:noProof/>
        </w:rPr>
        <w:drawing>
          <wp:inline distT="0" distB="0" distL="0" distR="0" wp14:anchorId="13EF2A94" wp14:editId="623DEB4F">
            <wp:extent cx="5759450" cy="212217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2122170"/>
                    </a:xfrm>
                    <a:prstGeom prst="rect">
                      <a:avLst/>
                    </a:prstGeom>
                    <a:noFill/>
                    <a:ln>
                      <a:noFill/>
                    </a:ln>
                  </pic:spPr>
                </pic:pic>
              </a:graphicData>
            </a:graphic>
          </wp:inline>
        </w:drawing>
      </w:r>
    </w:p>
    <w:p w14:paraId="44C92438" w14:textId="6CE3A67B" w:rsidR="00970FC8" w:rsidRDefault="00970FC8" w:rsidP="00970FC8">
      <w:pPr>
        <w:pStyle w:val="VirOpombaPOR"/>
      </w:pPr>
      <w:r>
        <w:t xml:space="preserve">Vir: </w:t>
      </w:r>
      <w:r>
        <w:fldChar w:fldCharType="begin"/>
      </w:r>
      <w:r w:rsidR="00CB4EF9">
        <w:instrText xml:space="preserve"> ADDIN ZOTERO_ITEM CSL_CITATION {"citationID":"hoALSvGg","properties":{"custom":"SURS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fldChar w:fldCharType="separate"/>
      </w:r>
      <w:r w:rsidRPr="00935831">
        <w:rPr>
          <w:sz w:val="16"/>
        </w:rPr>
        <w:t>SURS (2023)</w:t>
      </w:r>
      <w:r>
        <w:fldChar w:fldCharType="end"/>
      </w:r>
      <w:r w:rsidR="00273F4A">
        <w:t>.</w:t>
      </w:r>
    </w:p>
    <w:p w14:paraId="7476B53E" w14:textId="77777777" w:rsidR="003C716F" w:rsidRPr="00482410" w:rsidRDefault="003C716F" w:rsidP="00970FC8">
      <w:pPr>
        <w:pStyle w:val="VirOpombaPOR"/>
        <w:rPr>
          <w:rFonts w:eastAsiaTheme="minorHAnsi" w:cstheme="minorBidi"/>
          <w:noProof w:val="0"/>
          <w:sz w:val="16"/>
          <w:szCs w:val="22"/>
        </w:rPr>
      </w:pPr>
    </w:p>
    <w:p w14:paraId="2B96E76B" w14:textId="7EA56FCE" w:rsidR="007A56F8" w:rsidRDefault="003B5F1A" w:rsidP="000818D6">
      <w:pPr>
        <w:pStyle w:val="BesediloUMAR"/>
      </w:pPr>
      <w:r w:rsidRPr="00287615">
        <w:rPr>
          <w:rStyle w:val="VodilnistavekUMAR"/>
        </w:rPr>
        <w:lastRenderedPageBreak/>
        <w:t>S</w:t>
      </w:r>
      <w:r w:rsidR="00724758">
        <w:rPr>
          <w:rStyle w:val="VodilnistavekUMAR"/>
        </w:rPr>
        <w:t>plošna s</w:t>
      </w:r>
      <w:r w:rsidRPr="00287615">
        <w:rPr>
          <w:rStyle w:val="VodilnistavekUMAR"/>
        </w:rPr>
        <w:t xml:space="preserve">topnja </w:t>
      </w:r>
      <w:r w:rsidRPr="00724758">
        <w:rPr>
          <w:rStyle w:val="VodilnistavekUMAR"/>
        </w:rPr>
        <w:t>umrljivos</w:t>
      </w:r>
      <w:r w:rsidR="004E3047" w:rsidRPr="00724758">
        <w:rPr>
          <w:rStyle w:val="VodilnistavekUMAR"/>
        </w:rPr>
        <w:t>t</w:t>
      </w:r>
      <w:r w:rsidRPr="00724758">
        <w:rPr>
          <w:rStyle w:val="VodilnistavekUMAR"/>
        </w:rPr>
        <w:t>i</w:t>
      </w:r>
      <w:r w:rsidR="00B158FB">
        <w:rPr>
          <w:rStyle w:val="VodilnistavekUMAR"/>
        </w:rPr>
        <w:t>*</w:t>
      </w:r>
      <w:r w:rsidRPr="00287615">
        <w:rPr>
          <w:rStyle w:val="VodilnistavekUMAR"/>
        </w:rPr>
        <w:t xml:space="preserve"> se je </w:t>
      </w:r>
      <w:r w:rsidR="008E7593">
        <w:rPr>
          <w:rStyle w:val="VodilnistavekUMAR"/>
        </w:rPr>
        <w:t>v času</w:t>
      </w:r>
      <w:r w:rsidRPr="00287615">
        <w:rPr>
          <w:rStyle w:val="VodilnistavekUMAR"/>
        </w:rPr>
        <w:t xml:space="preserve"> epidemij</w:t>
      </w:r>
      <w:r w:rsidR="008E7593">
        <w:rPr>
          <w:rStyle w:val="VodilnistavekUMAR"/>
        </w:rPr>
        <w:t>e</w:t>
      </w:r>
      <w:r w:rsidRPr="00287615">
        <w:rPr>
          <w:rStyle w:val="VodilnistavekUMAR"/>
        </w:rPr>
        <w:t xml:space="preserve"> covid</w:t>
      </w:r>
      <w:r w:rsidR="001F032B" w:rsidRPr="00287615">
        <w:rPr>
          <w:rStyle w:val="VodilnistavekUMAR"/>
        </w:rPr>
        <w:t>a-19 povišala</w:t>
      </w:r>
      <w:r w:rsidR="00FF5EA2">
        <w:rPr>
          <w:rStyle w:val="VodilnistavekUMAR"/>
        </w:rPr>
        <w:t>,</w:t>
      </w:r>
      <w:r w:rsidR="00A45627">
        <w:rPr>
          <w:rStyle w:val="VodilnistavekUMAR"/>
        </w:rPr>
        <w:t xml:space="preserve"> v prihodnje pa </w:t>
      </w:r>
      <w:r w:rsidR="009D080E">
        <w:rPr>
          <w:rStyle w:val="VodilnistavekUMAR"/>
        </w:rPr>
        <w:t>naj bi bila</w:t>
      </w:r>
      <w:r w:rsidR="00A45627">
        <w:rPr>
          <w:rStyle w:val="VodilnistavekUMAR"/>
        </w:rPr>
        <w:t xml:space="preserve"> višja zaradi staranja prebivalcev</w:t>
      </w:r>
      <w:r w:rsidR="001F032B" w:rsidRPr="00287615">
        <w:rPr>
          <w:rStyle w:val="VodilnistavekUMAR"/>
        </w:rPr>
        <w:t xml:space="preserve">. </w:t>
      </w:r>
      <w:r w:rsidR="004214A3" w:rsidRPr="00E27224">
        <w:t xml:space="preserve">Leta 2020 je </w:t>
      </w:r>
      <w:r w:rsidR="00FA2569">
        <w:t xml:space="preserve">bila </w:t>
      </w:r>
      <w:r w:rsidR="00A72583">
        <w:t xml:space="preserve">stopnja umrljivosti </w:t>
      </w:r>
      <w:r w:rsidR="004214A3" w:rsidRPr="00E27224">
        <w:t>11,4</w:t>
      </w:r>
      <w:r w:rsidR="00A72583">
        <w:t xml:space="preserve"> umrlega na 1000 prebivalcev</w:t>
      </w:r>
      <w:r w:rsidR="004214A3" w:rsidRPr="00E27224">
        <w:t>, leta 2021 pa 1</w:t>
      </w:r>
      <w:r w:rsidR="00E27224" w:rsidRPr="00E27224">
        <w:t>1,0, to sta bili najvišji vrednosti</w:t>
      </w:r>
      <w:r w:rsidR="00CB113F">
        <w:t>,</w:t>
      </w:r>
      <w:r w:rsidR="00E27224" w:rsidRPr="00E27224">
        <w:t xml:space="preserve"> doseženi od leta 1954, ko imamo podatke. </w:t>
      </w:r>
      <w:r w:rsidR="00FF5EA2">
        <w:t xml:space="preserve">Leta 2022 </w:t>
      </w:r>
      <w:r w:rsidR="00FF5EA2" w:rsidRPr="00CB7B8F">
        <w:t>je bila</w:t>
      </w:r>
      <w:r w:rsidR="00462883">
        <w:t xml:space="preserve"> z</w:t>
      </w:r>
      <w:r w:rsidR="00FF5EA2" w:rsidRPr="00CB7B8F">
        <w:t xml:space="preserve"> 10,</w:t>
      </w:r>
      <w:r w:rsidR="00F32178" w:rsidRPr="00CB7B8F">
        <w:t>7</w:t>
      </w:r>
      <w:r w:rsidR="00232E07">
        <w:t xml:space="preserve"> </w:t>
      </w:r>
      <w:r w:rsidR="00FF5EA2" w:rsidRPr="00CB7B8F">
        <w:t>najvišj</w:t>
      </w:r>
      <w:r w:rsidR="00232E07">
        <w:t>a</w:t>
      </w:r>
      <w:r w:rsidR="00FF5EA2" w:rsidRPr="00CB7B8F">
        <w:t xml:space="preserve"> po letu </w:t>
      </w:r>
      <w:r w:rsidR="00FF5EA2" w:rsidRPr="003E7314">
        <w:t>198</w:t>
      </w:r>
      <w:r w:rsidR="00CC2D49" w:rsidRPr="003E7314">
        <w:t>3,</w:t>
      </w:r>
      <w:r w:rsidR="00232E07" w:rsidRPr="003E7314">
        <w:t xml:space="preserve"> vendar ocenjujemo, da je to </w:t>
      </w:r>
      <w:r w:rsidR="005C66CE">
        <w:t>(v večji meri</w:t>
      </w:r>
      <w:r w:rsidR="005C66CE" w:rsidRPr="00093DDE">
        <w:t>)</w:t>
      </w:r>
      <w:r w:rsidR="009D1AA8" w:rsidRPr="00093DDE">
        <w:t xml:space="preserve"> </w:t>
      </w:r>
      <w:r w:rsidR="00232E07" w:rsidRPr="00093DDE">
        <w:t>že</w:t>
      </w:r>
      <w:r w:rsidR="00CC2D49" w:rsidRPr="00093DDE">
        <w:t xml:space="preserve"> posledica staranja </w:t>
      </w:r>
      <w:r w:rsidR="00E64519" w:rsidRPr="007E0D40">
        <w:t>(</w:t>
      </w:r>
      <w:r w:rsidR="00232E07" w:rsidRPr="007E0D40">
        <w:t xml:space="preserve">in ne </w:t>
      </w:r>
      <w:r w:rsidR="002608D7" w:rsidRPr="007E0D40">
        <w:t xml:space="preserve">toliko morebitne </w:t>
      </w:r>
      <w:r w:rsidR="00232E07" w:rsidRPr="007E0D40">
        <w:t>povečane um</w:t>
      </w:r>
      <w:r w:rsidR="00D931B8" w:rsidRPr="007E0D40">
        <w:t>r</w:t>
      </w:r>
      <w:r w:rsidR="00232E07" w:rsidRPr="007E0D40">
        <w:t xml:space="preserve">ljivosti </w:t>
      </w:r>
      <w:r w:rsidR="00D931B8" w:rsidRPr="007E0D40">
        <w:t>zaradi covida-19</w:t>
      </w:r>
      <w:r w:rsidR="00D931B8" w:rsidRPr="006E7431">
        <w:rPr>
          <w:rStyle w:val="FootnoteReference"/>
        </w:rPr>
        <w:footnoteReference w:id="10"/>
      </w:r>
      <w:r w:rsidR="002608D7" w:rsidRPr="007E0D40">
        <w:t xml:space="preserve"> ali celo posrednih smrti, kar </w:t>
      </w:r>
      <w:r w:rsidR="00EF193A">
        <w:t xml:space="preserve">pa </w:t>
      </w:r>
      <w:r w:rsidR="002608D7" w:rsidRPr="007E0D40">
        <w:t xml:space="preserve">bi </w:t>
      </w:r>
      <w:r w:rsidR="002F0D06">
        <w:t xml:space="preserve">bilo </w:t>
      </w:r>
      <w:r w:rsidR="00EF193A">
        <w:t xml:space="preserve">oboje </w:t>
      </w:r>
      <w:r w:rsidR="002608D7" w:rsidRPr="007E0D40">
        <w:t>zelo težko ocen</w:t>
      </w:r>
      <w:r w:rsidR="00093DDE" w:rsidRPr="007E0D40">
        <w:t>iti</w:t>
      </w:r>
      <w:r w:rsidR="00541A69" w:rsidRPr="007E0D40">
        <w:t>)</w:t>
      </w:r>
      <w:r w:rsidR="00CC2D49" w:rsidRPr="007E0D40">
        <w:t>,</w:t>
      </w:r>
      <w:r w:rsidR="00CC2D49" w:rsidRPr="00093DDE">
        <w:t xml:space="preserve"> saj </w:t>
      </w:r>
      <w:r w:rsidR="00DB6656" w:rsidRPr="00093DDE">
        <w:t xml:space="preserve">se bo po projekcijah stopnja umrljivosti </w:t>
      </w:r>
      <w:r w:rsidR="00E64519" w:rsidRPr="00093DDE">
        <w:t xml:space="preserve">od zdaj naprej </w:t>
      </w:r>
      <w:r w:rsidR="00DB6656" w:rsidRPr="00093DDE">
        <w:t>povečev</w:t>
      </w:r>
      <w:r w:rsidR="00DB6656" w:rsidRPr="003E7314">
        <w:t>ala in vrh dosegla v obdobju 2065–2071</w:t>
      </w:r>
      <w:r w:rsidR="00E52758">
        <w:t xml:space="preserve"> s</w:t>
      </w:r>
      <w:r w:rsidR="00DB6656" w:rsidRPr="003E7314">
        <w:t xml:space="preserve"> 13,5 umrlega na 1000 prebivalcev</w:t>
      </w:r>
      <w:r w:rsidR="009D1AA8">
        <w:t xml:space="preserve"> ter se nato do </w:t>
      </w:r>
      <w:r w:rsidR="00DB6656" w:rsidRPr="003E7314">
        <w:t xml:space="preserve">leta 2100 </w:t>
      </w:r>
      <w:r w:rsidR="009D1AA8">
        <w:t>ponovno znižala na</w:t>
      </w:r>
      <w:r w:rsidR="00DB6656" w:rsidRPr="003E7314">
        <w:t xml:space="preserve"> 11,9</w:t>
      </w:r>
      <w:r w:rsidR="00FF5EA2" w:rsidRPr="003E7314">
        <w:t xml:space="preserve">. </w:t>
      </w:r>
      <w:r w:rsidR="00FA17A6" w:rsidRPr="003E7314">
        <w:t>Leta</w:t>
      </w:r>
      <w:r w:rsidR="00FA17A6" w:rsidRPr="00FA17A6">
        <w:t xml:space="preserve"> 2020 se je </w:t>
      </w:r>
      <w:r w:rsidR="00E52758">
        <w:t>pričakovano trajanje življenja</w:t>
      </w:r>
      <w:r w:rsidR="00FA17A6" w:rsidRPr="00FA17A6">
        <w:t xml:space="preserve"> ob rojstvu zaradi epidemije in posledičnih </w:t>
      </w:r>
      <w:r w:rsidR="00FA17A6" w:rsidRPr="007E0D40">
        <w:t xml:space="preserve">smrti </w:t>
      </w:r>
      <w:r w:rsidR="00FA2569">
        <w:t>skrajšalo</w:t>
      </w:r>
      <w:r w:rsidR="007B602F" w:rsidRPr="006E7431">
        <w:rPr>
          <w:rStyle w:val="FootnoteReference"/>
        </w:rPr>
        <w:footnoteReference w:id="11"/>
      </w:r>
      <w:r w:rsidR="00FA17A6" w:rsidRPr="007E0D40">
        <w:t xml:space="preserve"> v Sloveniji</w:t>
      </w:r>
      <w:r w:rsidR="00FA17A6" w:rsidRPr="005C66CE">
        <w:t xml:space="preserve"> in v</w:t>
      </w:r>
      <w:r w:rsidR="00FA17A6" w:rsidRPr="00FA17A6">
        <w:t xml:space="preserve"> povprečju EU za okoli 1 leto, leta 2021 pa je bila Slovenija ena izmed dvanajstih držav EU, kjer se ni </w:t>
      </w:r>
      <w:r w:rsidR="009D1AA8">
        <w:t xml:space="preserve">še nadalje </w:t>
      </w:r>
      <w:r w:rsidR="00D85E2C">
        <w:t xml:space="preserve">krajšalo </w:t>
      </w:r>
      <w:r w:rsidR="00043CCF">
        <w:t>(gl. tudi slik</w:t>
      </w:r>
      <w:r w:rsidR="00BA7101">
        <w:t>o</w:t>
      </w:r>
      <w:r w:rsidR="00043CCF">
        <w:t xml:space="preserve"> 14)</w:t>
      </w:r>
      <w:r w:rsidR="00FA17A6" w:rsidRPr="00FA17A6">
        <w:t>.</w:t>
      </w:r>
      <w:r w:rsidR="00AC73D9">
        <w:t xml:space="preserve"> </w:t>
      </w:r>
      <w:r w:rsidR="00741410">
        <w:br/>
      </w:r>
      <w:r w:rsidR="00FA17A6" w:rsidRPr="00FA17A6">
        <w:t xml:space="preserve">V Sloveniji se je leta 2020 </w:t>
      </w:r>
      <w:r w:rsidR="00770F9A">
        <w:t>pričakovano trajanje življenja</w:t>
      </w:r>
      <w:r w:rsidR="00FA17A6" w:rsidRPr="00FA17A6">
        <w:t xml:space="preserve"> (80,6 let</w:t>
      </w:r>
      <w:r w:rsidR="006211C9">
        <w:t>a</w:t>
      </w:r>
      <w:r w:rsidR="00FA17A6" w:rsidRPr="00FA17A6">
        <w:t xml:space="preserve">) znižalo približno na raven leta 2013, leta 2021 pa se je </w:t>
      </w:r>
      <w:r w:rsidR="00043CCF">
        <w:t>podaljšalo</w:t>
      </w:r>
      <w:r w:rsidR="00043CCF" w:rsidRPr="00FA17A6">
        <w:t xml:space="preserve"> </w:t>
      </w:r>
      <w:r w:rsidR="00FA17A6" w:rsidRPr="00FA17A6">
        <w:t>za dober mesec</w:t>
      </w:r>
      <w:r w:rsidR="00D516DC" w:rsidRPr="00D516DC">
        <w:t>, vendar ni doseglo vrednosti iz leta 2019</w:t>
      </w:r>
      <w:r w:rsidR="00FA17A6" w:rsidRPr="00FA17A6">
        <w:t xml:space="preserve">. Število umrlih je bilo leta 2020 za 18,8 %, leta 2021 pa za 15 % </w:t>
      </w:r>
      <w:r w:rsidR="00007B32">
        <w:t>in 2022 za 11,</w:t>
      </w:r>
      <w:r w:rsidR="00D51CE4">
        <w:t>2</w:t>
      </w:r>
      <w:r w:rsidR="00007B32">
        <w:t xml:space="preserve"> % </w:t>
      </w:r>
      <w:r w:rsidR="00FA17A6" w:rsidRPr="00FA17A6">
        <w:t>večje kot v povprečju obdobja 2015–2019</w:t>
      </w:r>
      <w:r w:rsidR="00F86079">
        <w:t xml:space="preserve"> (presežna umrljivost*)</w:t>
      </w:r>
      <w:r w:rsidR="00E460EB">
        <w:t>, vendar ne moremo natančno ločiti, k</w:t>
      </w:r>
      <w:r w:rsidR="00F86079">
        <w:t>o</w:t>
      </w:r>
      <w:r w:rsidR="00E460EB">
        <w:t xml:space="preserve">likšen vpliv so imele smrti zaradi/s covidom-19 in </w:t>
      </w:r>
      <w:r w:rsidR="00F86079">
        <w:t>k</w:t>
      </w:r>
      <w:r w:rsidR="00BA7101">
        <w:t>olikšen</w:t>
      </w:r>
      <w:r w:rsidR="00F86079">
        <w:t xml:space="preserve"> </w:t>
      </w:r>
      <w:r w:rsidR="001D4458">
        <w:t xml:space="preserve">staranje </w:t>
      </w:r>
      <w:r w:rsidR="001F320E">
        <w:t>prebivalcev</w:t>
      </w:r>
      <w:r w:rsidR="001D4458">
        <w:t>, ki je ravno v tem času intenzivnejše</w:t>
      </w:r>
      <w:r w:rsidR="00FA17A6" w:rsidRPr="00FA17A6">
        <w:t>.</w:t>
      </w:r>
      <w:r w:rsidR="006C20BF" w:rsidRPr="006E7431">
        <w:rPr>
          <w:rStyle w:val="FootnoteReference"/>
        </w:rPr>
        <w:footnoteReference w:id="12"/>
      </w:r>
      <w:r w:rsidR="00AC73D9">
        <w:rPr>
          <w:vertAlign w:val="superscript"/>
        </w:rPr>
        <w:t xml:space="preserve"> </w:t>
      </w:r>
      <w:r w:rsidR="00FA17A6" w:rsidRPr="00FA17A6">
        <w:t>Ker je bilo več</w:t>
      </w:r>
      <w:r w:rsidR="00911450">
        <w:t xml:space="preserve"> presežnih smrti oz.</w:t>
      </w:r>
      <w:r w:rsidR="00AC73D9">
        <w:t xml:space="preserve"> </w:t>
      </w:r>
      <w:r w:rsidR="00FA17A6" w:rsidRPr="00FA17A6">
        <w:t>smrti</w:t>
      </w:r>
      <w:r w:rsidR="00070698">
        <w:t xml:space="preserve"> s covidom-19</w:t>
      </w:r>
      <w:r w:rsidR="00FA17A6" w:rsidRPr="00FA17A6">
        <w:t xml:space="preserve"> pri starejših, je povprečna starost umrlih ostala višja</w:t>
      </w:r>
      <w:r w:rsidR="00007B32">
        <w:t xml:space="preserve"> in se tako zaradi večjega števila umrlih </w:t>
      </w:r>
      <w:r w:rsidR="00F42E51">
        <w:t>v primerjavi z letom pred epidemijo ni znižala</w:t>
      </w:r>
      <w:r w:rsidR="006F2BBB">
        <w:t xml:space="preserve"> </w:t>
      </w:r>
      <w:r w:rsidR="00F42E51">
        <w:t>(leta 2022 je bila za 0,6 let</w:t>
      </w:r>
      <w:r w:rsidR="00714C85">
        <w:t>a</w:t>
      </w:r>
      <w:r w:rsidR="00F42E51">
        <w:t xml:space="preserve"> višja kot leta 2019</w:t>
      </w:r>
      <w:r w:rsidR="00D007F9">
        <w:t>; gl</w:t>
      </w:r>
      <w:r w:rsidR="002D29B8">
        <w:t>.</w:t>
      </w:r>
      <w:r w:rsidR="00D007F9">
        <w:t xml:space="preserve"> </w:t>
      </w:r>
      <w:r w:rsidR="00D007F9" w:rsidRPr="00043CCF">
        <w:t xml:space="preserve">tudi </w:t>
      </w:r>
      <w:r w:rsidR="00043CCF" w:rsidRPr="00043CCF">
        <w:t>sliko</w:t>
      </w:r>
      <w:r w:rsidR="00043CCF">
        <w:t xml:space="preserve"> 12</w:t>
      </w:r>
      <w:r w:rsidR="00F42E51">
        <w:t>)</w:t>
      </w:r>
      <w:r w:rsidR="00FA17A6" w:rsidRPr="00FA17A6">
        <w:t>, prezgodnja umrljivost</w:t>
      </w:r>
      <w:r w:rsidR="00BE4DF4">
        <w:t>*</w:t>
      </w:r>
      <w:r w:rsidR="00AC73D9">
        <w:t xml:space="preserve"> </w:t>
      </w:r>
      <w:r w:rsidR="00FA17A6" w:rsidRPr="00FA17A6">
        <w:t>pa</w:t>
      </w:r>
      <w:r w:rsidR="00561F61">
        <w:t xml:space="preserve"> je ostala</w:t>
      </w:r>
      <w:r w:rsidR="00FA17A6" w:rsidRPr="00FA17A6">
        <w:t xml:space="preserve"> nižja kot pred epidemijo</w:t>
      </w:r>
      <w:r w:rsidR="006F2BBB">
        <w:t xml:space="preserve"> </w:t>
      </w:r>
      <w:r w:rsidR="006F2BBB" w:rsidRPr="006F2BBB">
        <w:t xml:space="preserve">(2000: 26,7 %; 2019: 16,0 %; </w:t>
      </w:r>
      <w:r w:rsidR="00BD3E59">
        <w:t>2022</w:t>
      </w:r>
      <w:r w:rsidR="006F2BBB" w:rsidRPr="006F2BBB">
        <w:t>: 1</w:t>
      </w:r>
      <w:r w:rsidR="00BD3E59">
        <w:t>4</w:t>
      </w:r>
      <w:r w:rsidR="006F2BBB" w:rsidRPr="006F2BBB">
        <w:t>,</w:t>
      </w:r>
      <w:r w:rsidR="00BD3E59">
        <w:t>5</w:t>
      </w:r>
      <w:r w:rsidR="006F2BBB" w:rsidRPr="006F2BBB">
        <w:t> %)</w:t>
      </w:r>
      <w:r w:rsidR="00FA17A6" w:rsidRPr="00FA17A6">
        <w:t xml:space="preserve">. </w:t>
      </w:r>
      <w:r w:rsidR="00527748">
        <w:t>Pričakovano trajanje življenja</w:t>
      </w:r>
      <w:r w:rsidR="00FA17A6" w:rsidRPr="00FA17A6">
        <w:t xml:space="preserve"> pri 65</w:t>
      </w:r>
      <w:r w:rsidR="00C51F0F">
        <w:t xml:space="preserve"> </w:t>
      </w:r>
      <w:r w:rsidR="00FA17A6" w:rsidRPr="00FA17A6">
        <w:t xml:space="preserve">letih je bilo leta 2021 19,3 leta, kar je skoraj 10 mesecev </w:t>
      </w:r>
      <w:r w:rsidR="007C728C">
        <w:t>manj</w:t>
      </w:r>
      <w:r w:rsidR="00FA17A6" w:rsidRPr="00FA17A6">
        <w:t xml:space="preserve"> kot leta 2019. Moški, ki je dopolnil 65 let leta 2021, je lahko pričakoval še 17,2 let</w:t>
      </w:r>
      <w:r w:rsidR="00D06028">
        <w:t>i</w:t>
      </w:r>
      <w:r w:rsidR="00FA17A6" w:rsidRPr="00FA17A6">
        <w:t xml:space="preserve"> življenja (EU: 17,3 let</w:t>
      </w:r>
      <w:r w:rsidR="00D06028">
        <w:t>a</w:t>
      </w:r>
      <w:r w:rsidR="00FA17A6" w:rsidRPr="00FA17A6">
        <w:t>), ženska pa 21,3 leta (EU: 20,9 let</w:t>
      </w:r>
      <w:r w:rsidR="00AA458B">
        <w:t>a</w:t>
      </w:r>
      <w:r w:rsidR="00FA17A6" w:rsidRPr="00FA17A6">
        <w:t xml:space="preserve">). Neznanka pri gibanju </w:t>
      </w:r>
      <w:r w:rsidR="00CB43FE">
        <w:t>pričakovanega trajanja življenja</w:t>
      </w:r>
      <w:r w:rsidR="00FA17A6" w:rsidRPr="00FA17A6">
        <w:t xml:space="preserve"> v prihodnjih letih ostaja število posrednih smrti zaradi nedostopnosti preventivnih in nujnih zdravstvenih storitev ter psihosocialne pomoči </w:t>
      </w:r>
      <w:r w:rsidR="003C0041">
        <w:fldChar w:fldCharType="begin"/>
      </w:r>
      <w:r w:rsidR="00DB3776">
        <w:instrText xml:space="preserve"> ADDIN ZOTERO_ITEM CSL_CITATION {"citationID":"zvIOHsPi","properties":{"formattedCitation":"(OECD in EU, 2020)","plainCitation":"(OECD in EU, 2020)","noteIndex":0},"citationItems":[{"id":752,"uris":["http://zotero.org/users/8040504/items/RBUF22WD"],"itemData":{"id":752,"type":"book","collection-title":"Health at a Glance: Europe","ISBN":"978-92-64-36564-3","language":"en","note":"DOI: 10.1787/82129230-en","publisher":"OECD","source":"DOI.org (Crossref)","title":"Health at a Glance: Europe 2020: State of Health in the EU Cycle","title-short":"Health at a Glance","URL":"https://www.oecd-ilibrary.org/social-issues-migration-health/health-at-a-glance-europe-2020_82129230-en","author":[{"literal":"OECD"},{"family":"EU","given":""}],"accessed":{"date-parts":[["2021",12,17]]},"issued":{"date-parts":[["2020",11,19]]}}}],"schema":"https://github.com/citation-style-language/schema/raw/master/csl-citation.json"} </w:instrText>
      </w:r>
      <w:r w:rsidR="003C0041">
        <w:fldChar w:fldCharType="separate"/>
      </w:r>
      <w:r w:rsidR="00DB3776" w:rsidRPr="00DB3776">
        <w:t>(OECD in EU, 2020)</w:t>
      </w:r>
      <w:r w:rsidR="003C0041">
        <w:fldChar w:fldCharType="end"/>
      </w:r>
      <w:r w:rsidR="008265F9">
        <w:t>.</w:t>
      </w:r>
      <w:r w:rsidR="00C84F72">
        <w:t xml:space="preserve"> </w:t>
      </w:r>
      <w:r w:rsidR="00C7012A" w:rsidRPr="00093DDE">
        <w:t>P</w:t>
      </w:r>
      <w:r w:rsidR="00C84F72" w:rsidRPr="00093DDE">
        <w:t xml:space="preserve">rojekcije </w:t>
      </w:r>
      <w:r w:rsidR="00C7012A" w:rsidRPr="007E0D40">
        <w:t xml:space="preserve">sicer ne predvidevajo vpliva covida-19 na dolgi rok oz. od leta 2024 naprej. </w:t>
      </w:r>
    </w:p>
    <w:p w14:paraId="43153C3E" w14:textId="170C93A7" w:rsidR="00A45627" w:rsidRDefault="00A45627" w:rsidP="00B84C29">
      <w:pPr>
        <w:pStyle w:val="Caption"/>
      </w:pPr>
      <w:bookmarkStart w:id="46" w:name="_Toc146283032"/>
      <w:r>
        <w:t xml:space="preserve">Slika </w:t>
      </w:r>
      <w:r>
        <w:fldChar w:fldCharType="begin"/>
      </w:r>
      <w:r>
        <w:instrText xml:space="preserve"> SEQ Slika \* ARABIC </w:instrText>
      </w:r>
      <w:r>
        <w:fldChar w:fldCharType="separate"/>
      </w:r>
      <w:r w:rsidR="00B3724D">
        <w:t>13</w:t>
      </w:r>
      <w:r>
        <w:fldChar w:fldCharType="end"/>
      </w:r>
      <w:r>
        <w:t>: V času epidemije covida-19 sta bili stopnja umrljivosti in presežna umrljivost najvišji v zadnjih skoraj 7</w:t>
      </w:r>
      <w:r w:rsidR="00DF24B5">
        <w:t>0</w:t>
      </w:r>
      <w:r>
        <w:t xml:space="preserve"> letih</w:t>
      </w:r>
      <w:bookmarkEnd w:id="46"/>
    </w:p>
    <w:p w14:paraId="577EBC94" w14:textId="6AA280D9" w:rsidR="00A45627" w:rsidRDefault="000A3A16" w:rsidP="00A45627">
      <w:pPr>
        <w:pStyle w:val="BesediloUMAR"/>
      </w:pPr>
      <w:r w:rsidRPr="000A3A16">
        <w:rPr>
          <w:noProof/>
        </w:rPr>
        <w:drawing>
          <wp:inline distT="0" distB="0" distL="0" distR="0" wp14:anchorId="00E33197" wp14:editId="13CA77CD">
            <wp:extent cx="5759450" cy="20836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2083647"/>
                    </a:xfrm>
                    <a:prstGeom prst="rect">
                      <a:avLst/>
                    </a:prstGeom>
                    <a:noFill/>
                    <a:ln>
                      <a:noFill/>
                    </a:ln>
                  </pic:spPr>
                </pic:pic>
              </a:graphicData>
            </a:graphic>
          </wp:inline>
        </w:drawing>
      </w:r>
    </w:p>
    <w:p w14:paraId="34155C4C" w14:textId="732E6B63" w:rsidR="00A45627" w:rsidRPr="00EA2A47" w:rsidRDefault="00A45627" w:rsidP="00834ED7">
      <w:pPr>
        <w:pStyle w:val="VirUMAR"/>
      </w:pPr>
      <w:r w:rsidRPr="00EA2A47">
        <w:t xml:space="preserve">Vir: </w:t>
      </w:r>
      <w:r w:rsidRPr="00EA2A47">
        <w:fldChar w:fldCharType="begin"/>
      </w:r>
      <w:r w:rsidR="00CB4EF9">
        <w:instrText xml:space="preserve"> ADDIN ZOTERO_ITEM CSL_CITATION {"citationID":"yInN4rDH","properties":{"custom":"SURS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rsidRPr="00EA2A47">
        <w:fldChar w:fldCharType="separate"/>
      </w:r>
      <w:r w:rsidRPr="00EA2A47">
        <w:t>SURS (2023)</w:t>
      </w:r>
      <w:r w:rsidRPr="00EA2A47">
        <w:fldChar w:fldCharType="end"/>
      </w:r>
      <w:r w:rsidRPr="00EA2A47">
        <w:t>, preračuni UMAR.</w:t>
      </w:r>
    </w:p>
    <w:p w14:paraId="1EDD0CA7" w14:textId="164D6D16" w:rsidR="00A45627" w:rsidRDefault="00A45627" w:rsidP="000818D6">
      <w:pPr>
        <w:pStyle w:val="BesediloUMAR"/>
      </w:pPr>
    </w:p>
    <w:p w14:paraId="335EACC6" w14:textId="77777777" w:rsidR="00DD69A8" w:rsidRDefault="00DD69A8" w:rsidP="000818D6">
      <w:pPr>
        <w:pStyle w:val="BesediloUMAR"/>
      </w:pPr>
    </w:p>
    <w:p w14:paraId="4EA22A1C" w14:textId="539576A9" w:rsidR="00EB1E3A" w:rsidRDefault="00EB1E3A" w:rsidP="00B84C29">
      <w:pPr>
        <w:pStyle w:val="Caption"/>
      </w:pPr>
      <w:bookmarkStart w:id="47" w:name="_Toc146283033"/>
      <w:r>
        <w:lastRenderedPageBreak/>
        <w:t xml:space="preserve">Slika </w:t>
      </w:r>
      <w:r>
        <w:fldChar w:fldCharType="begin"/>
      </w:r>
      <w:r>
        <w:instrText xml:space="preserve"> SEQ Slika \* ARABIC </w:instrText>
      </w:r>
      <w:r>
        <w:fldChar w:fldCharType="separate"/>
      </w:r>
      <w:r w:rsidR="00B3724D">
        <w:t>14</w:t>
      </w:r>
      <w:r>
        <w:fldChar w:fldCharType="end"/>
      </w:r>
      <w:r>
        <w:t>: P</w:t>
      </w:r>
      <w:r w:rsidR="008C4403">
        <w:t xml:space="preserve">ričakovano trajanje življenja </w:t>
      </w:r>
      <w:r>
        <w:t>je v Slo</w:t>
      </w:r>
      <w:r w:rsidR="0009730E">
        <w:t>v</w:t>
      </w:r>
      <w:r>
        <w:t xml:space="preserve">eniji </w:t>
      </w:r>
      <w:r w:rsidR="008C4403">
        <w:t xml:space="preserve">višje kot v </w:t>
      </w:r>
      <w:r w:rsidR="0009730E">
        <w:t>povprečj</w:t>
      </w:r>
      <w:r w:rsidR="008C4403">
        <w:t>u</w:t>
      </w:r>
      <w:r w:rsidR="0009730E">
        <w:t xml:space="preserve"> EU</w:t>
      </w:r>
      <w:r w:rsidR="008C4403">
        <w:t>, pri moških</w:t>
      </w:r>
      <w:r w:rsidR="0009730E">
        <w:t xml:space="preserve"> od leta 2014</w:t>
      </w:r>
      <w:r w:rsidR="008C4403">
        <w:t>, pri ženskah</w:t>
      </w:r>
      <w:r w:rsidR="0009730E">
        <w:t xml:space="preserve"> </w:t>
      </w:r>
      <w:r w:rsidR="008C4403">
        <w:t xml:space="preserve">pa </w:t>
      </w:r>
      <w:r w:rsidR="0009730E">
        <w:t>od leta 2008</w:t>
      </w:r>
      <w:bookmarkEnd w:id="47"/>
    </w:p>
    <w:p w14:paraId="39948CA7" w14:textId="02AFCBB5" w:rsidR="000D324B" w:rsidRDefault="00463F81" w:rsidP="000D324B">
      <w:pPr>
        <w:pStyle w:val="BesediloUMAR"/>
      </w:pPr>
      <w:r w:rsidRPr="00463F81">
        <w:rPr>
          <w:noProof/>
        </w:rPr>
        <w:drawing>
          <wp:inline distT="0" distB="0" distL="0" distR="0" wp14:anchorId="1A37D5CC" wp14:editId="4A2AD612">
            <wp:extent cx="2772000" cy="2268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72000" cy="2268000"/>
                    </a:xfrm>
                    <a:prstGeom prst="rect">
                      <a:avLst/>
                    </a:prstGeom>
                    <a:noFill/>
                    <a:ln>
                      <a:noFill/>
                    </a:ln>
                  </pic:spPr>
                </pic:pic>
              </a:graphicData>
            </a:graphic>
          </wp:inline>
        </w:drawing>
      </w:r>
      <w:r>
        <w:t xml:space="preserve">       </w:t>
      </w:r>
      <w:r w:rsidRPr="00463F81">
        <w:rPr>
          <w:noProof/>
        </w:rPr>
        <w:drawing>
          <wp:inline distT="0" distB="0" distL="0" distR="0" wp14:anchorId="1DFEB95D" wp14:editId="5ABEB60F">
            <wp:extent cx="2772000" cy="2268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72000" cy="2268000"/>
                    </a:xfrm>
                    <a:prstGeom prst="rect">
                      <a:avLst/>
                    </a:prstGeom>
                    <a:noFill/>
                    <a:ln>
                      <a:noFill/>
                    </a:ln>
                  </pic:spPr>
                </pic:pic>
              </a:graphicData>
            </a:graphic>
          </wp:inline>
        </w:drawing>
      </w:r>
    </w:p>
    <w:p w14:paraId="05C130F2" w14:textId="59525A7B" w:rsidR="00EA2A47" w:rsidRPr="00EA2A47" w:rsidRDefault="00461D2B" w:rsidP="00463F81">
      <w:pPr>
        <w:pStyle w:val="VirUMAR"/>
      </w:pPr>
      <w:r>
        <w:t xml:space="preserve"> </w:t>
      </w:r>
      <w:r w:rsidR="00EA2A47" w:rsidRPr="00EA2A47">
        <w:t xml:space="preserve">Vir: </w:t>
      </w:r>
      <w:r w:rsidR="00EA2A47" w:rsidRPr="00EA2A47">
        <w:fldChar w:fldCharType="begin"/>
      </w:r>
      <w:r w:rsidR="00CB4EF9">
        <w:instrText xml:space="preserve"> ADDIN ZOTERO_ITEM CSL_CITATION {"citationID":"w9Norz7x","properties":{"custom":"Eurostat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00EA2A47" w:rsidRPr="00EA2A47">
        <w:fldChar w:fldCharType="separate"/>
      </w:r>
      <w:r w:rsidR="00EA2A47" w:rsidRPr="00EA2A47">
        <w:t>Eurostat (2023a)</w:t>
      </w:r>
      <w:r w:rsidR="00EA2A47" w:rsidRPr="00EA2A47">
        <w:fldChar w:fldCharType="end"/>
      </w:r>
      <w:r w:rsidR="00EA2A47" w:rsidRPr="00EA2A47">
        <w:t>.</w:t>
      </w:r>
    </w:p>
    <w:p w14:paraId="5B9E44B3" w14:textId="52AC9F52" w:rsidR="000D324B" w:rsidRPr="00EA2A47" w:rsidRDefault="00461D2B" w:rsidP="00463F81">
      <w:pPr>
        <w:pStyle w:val="VirUMAR"/>
      </w:pPr>
      <w:r w:rsidRPr="00EA2A47">
        <w:t xml:space="preserve">Opomba: Podatek za Nemčijo in Irsko za leto 2020 namesto 2021. </w:t>
      </w:r>
    </w:p>
    <w:p w14:paraId="61BE5AF2" w14:textId="77777777" w:rsidR="000D324B" w:rsidRDefault="000D324B" w:rsidP="000D324B">
      <w:pPr>
        <w:pStyle w:val="BesediloUMAR"/>
      </w:pPr>
    </w:p>
    <w:p w14:paraId="1ECD5785" w14:textId="4D45EDF2" w:rsidR="000D324B" w:rsidRDefault="000D324B" w:rsidP="007A56F8">
      <w:pPr>
        <w:pStyle w:val="Heading2"/>
      </w:pPr>
      <w:bookmarkStart w:id="48" w:name="_Toc146283015"/>
      <w:bookmarkStart w:id="49" w:name="_Hlk136760742"/>
      <w:r>
        <w:t>Selitve</w:t>
      </w:r>
      <w:bookmarkEnd w:id="48"/>
    </w:p>
    <w:p w14:paraId="46A34868" w14:textId="52C4CF82" w:rsidR="000D324B" w:rsidRDefault="000D324B" w:rsidP="000D324B">
      <w:pPr>
        <w:pStyle w:val="BesediloUMAR"/>
      </w:pPr>
      <w:bookmarkStart w:id="50" w:name="_Hlk138318552"/>
      <w:r w:rsidRPr="00593F09">
        <w:rPr>
          <w:rStyle w:val="BoldpoudarekUMAR"/>
        </w:rPr>
        <w:t xml:space="preserve">Na obseg selitvenega prirasta vplivajo predvsem ekonomski in politični </w:t>
      </w:r>
      <w:r w:rsidR="00651A0A">
        <w:rPr>
          <w:rStyle w:val="BoldpoudarekUMAR"/>
        </w:rPr>
        <w:t>dejavniki</w:t>
      </w:r>
      <w:r w:rsidRPr="00593F09">
        <w:rPr>
          <w:rStyle w:val="BoldpoudarekUMAR"/>
        </w:rPr>
        <w:t xml:space="preserve">. </w:t>
      </w:r>
      <w:r>
        <w:t xml:space="preserve">Z ekonomskega vidika so pomembna neskladja med ponudbo in povpraševanjem na trgu dela v posameznih državah ter razlike v dohodkih, delovnih in življenjskih razmerah ter možnostih poklicnega razvoja. Tako je Slovenija, kot najbolj razvita centralno- in vzhodnoevropska država, </w:t>
      </w:r>
      <w:r w:rsidR="00A3289B">
        <w:t>od nekdaj</w:t>
      </w:r>
      <w:r>
        <w:t xml:space="preserve"> privlačila delovno silo predvsem iz držav na območju nekdanje Jugoslavije</w:t>
      </w:r>
      <w:r w:rsidR="00A3289B">
        <w:t xml:space="preserve"> </w:t>
      </w:r>
      <w:r w:rsidR="009E3678">
        <w:fldChar w:fldCharType="begin"/>
      </w:r>
      <w:r w:rsidR="00EC7B3E">
        <w:instrText xml:space="preserve"> ADDIN ZOTERO_ITEM CSL_CITATION {"citationID":"CJtHcy5n","properties":{"formattedCitation":"(Kraigher in Ferk, 2013)","plainCitation":"(Kraigher in Ferk, 2013)","noteIndex":0},"citationItems":[{"id":3377,"uris":["http://zotero.org/users/8040504/items/ILSIE6RX"],"itemData":{"id":3377,"type":"book","collection-number":"3/2013","collection-title":"Delovni zvezek","event-place":"Ljubljana","ISBN":"978-961-6839-20-4","publisher":"UMAR","publisher-place":"Ljubljana","title":"Delovna projekcija prebivalstva Slovenije","URL":"https://www.umar.gov.si/fileadmin/user_upload/publikacije/dz/2013/dz03-13.pdf","volume":"XXII","author":[{"family":"Kraigher","given":"Tomaž"},{"family":"Ferk","given":"Barbara"}],"issued":{"date-parts":[["2013"]]}}}],"schema":"https://github.com/citation-style-language/schema/raw/master/csl-citation.json"} </w:instrText>
      </w:r>
      <w:r w:rsidR="009E3678">
        <w:fldChar w:fldCharType="separate"/>
      </w:r>
      <w:r w:rsidR="00EC7B3E" w:rsidRPr="00EC7B3E">
        <w:t>(Kraigher in Ferk, 2013)</w:t>
      </w:r>
      <w:r w:rsidR="009E3678">
        <w:fldChar w:fldCharType="end"/>
      </w:r>
      <w:r w:rsidR="00F81F5A">
        <w:t>, za državljane Slovenije pa sta privlačni npr. Nemčija in Avstrija</w:t>
      </w:r>
      <w:r>
        <w:t xml:space="preserve">. </w:t>
      </w:r>
    </w:p>
    <w:bookmarkEnd w:id="50"/>
    <w:p w14:paraId="011D9560" w14:textId="77777777" w:rsidR="000D324B" w:rsidRDefault="000D324B" w:rsidP="000D324B">
      <w:pPr>
        <w:pStyle w:val="BesediloUMAR"/>
      </w:pPr>
    </w:p>
    <w:p w14:paraId="66F84450" w14:textId="321F67C1" w:rsidR="00632FA5" w:rsidRDefault="00632FA5" w:rsidP="000D324B">
      <w:pPr>
        <w:pStyle w:val="BesediloUMAR"/>
      </w:pPr>
      <w:r w:rsidRPr="00EC0F5F">
        <w:rPr>
          <w:rStyle w:val="BoldpoudarekUMAR"/>
        </w:rPr>
        <w:t xml:space="preserve">Projekcija </w:t>
      </w:r>
      <w:r w:rsidR="009D080E">
        <w:rPr>
          <w:rStyle w:val="BoldpoudarekUMAR"/>
        </w:rPr>
        <w:t>predpostavlja</w:t>
      </w:r>
      <w:r w:rsidRPr="00EC0F5F">
        <w:rPr>
          <w:rStyle w:val="BoldpoudarekUMAR"/>
        </w:rPr>
        <w:t xml:space="preserve">, da se bo v Slovenijo vsako leto v povprečju priselilo </w:t>
      </w:r>
      <w:r w:rsidR="00B06E7A">
        <w:rPr>
          <w:rStyle w:val="BoldpoudarekUMAR"/>
        </w:rPr>
        <w:t xml:space="preserve">za </w:t>
      </w:r>
      <w:r w:rsidRPr="00EC0F5F">
        <w:rPr>
          <w:rStyle w:val="BoldpoudarekUMAR"/>
        </w:rPr>
        <w:t>okoli 6 tisoč ljudi več, kot se jih bo</w:t>
      </w:r>
      <w:r w:rsidR="006B45DD">
        <w:rPr>
          <w:rStyle w:val="BoldpoudarekUMAR"/>
        </w:rPr>
        <w:t xml:space="preserve"> iz nje</w:t>
      </w:r>
      <w:r w:rsidRPr="00EC0F5F">
        <w:rPr>
          <w:rStyle w:val="BoldpoudarekUMAR"/>
        </w:rPr>
        <w:t xml:space="preserve"> </w:t>
      </w:r>
      <w:r w:rsidR="002F3120">
        <w:rPr>
          <w:rStyle w:val="BoldpoudarekUMAR"/>
        </w:rPr>
        <w:t>odselilo</w:t>
      </w:r>
      <w:r w:rsidRPr="00EC0F5F">
        <w:rPr>
          <w:rStyle w:val="BoldpoudarekUMAR"/>
        </w:rPr>
        <w:t>.</w:t>
      </w:r>
      <w:r w:rsidRPr="00632FA5">
        <w:t xml:space="preserve"> Po nekoliko višjem neto selitvenem prirastu </w:t>
      </w:r>
      <w:r w:rsidR="00C31354">
        <w:t>v začetnih</w:t>
      </w:r>
      <w:r w:rsidRPr="00632FA5">
        <w:t xml:space="preserve"> letih projekcije 2022 in 2023 (več kot 11 tisoč ljudi letno), naj bi ta</w:t>
      </w:r>
      <w:r w:rsidR="00AC73D9">
        <w:t xml:space="preserve"> </w:t>
      </w:r>
      <w:r w:rsidRPr="00632FA5">
        <w:t xml:space="preserve">v povprečju v obdobju 2024–2100 znašal 6083 ljudi letno (skupaj s prvima letoma projekcije pa 6215). </w:t>
      </w:r>
    </w:p>
    <w:p w14:paraId="1D1287C3" w14:textId="1A9A3EE0" w:rsidR="000826E9" w:rsidRDefault="000826E9" w:rsidP="00B84C29">
      <w:pPr>
        <w:pStyle w:val="Caption"/>
      </w:pPr>
      <w:bookmarkStart w:id="51" w:name="_Toc146283034"/>
      <w:r w:rsidRPr="00346A40">
        <w:t xml:space="preserve">Slika </w:t>
      </w:r>
      <w:r w:rsidRPr="00346A40">
        <w:fldChar w:fldCharType="begin"/>
      </w:r>
      <w:r w:rsidRPr="00346A40">
        <w:instrText xml:space="preserve"> SEQ Slika \* ARABIC </w:instrText>
      </w:r>
      <w:r w:rsidRPr="00346A40">
        <w:fldChar w:fldCharType="separate"/>
      </w:r>
      <w:r w:rsidR="00B3724D">
        <w:t>15</w:t>
      </w:r>
      <w:r w:rsidRPr="00346A40">
        <w:fldChar w:fldCharType="end"/>
      </w:r>
      <w:r w:rsidRPr="00346A40">
        <w:t xml:space="preserve">: </w:t>
      </w:r>
      <w:r w:rsidR="00346A40" w:rsidRPr="00346A40">
        <w:t xml:space="preserve">Naravni prirast </w:t>
      </w:r>
      <w:r w:rsidR="009D080E">
        <w:t>naj bi bil</w:t>
      </w:r>
      <w:r w:rsidR="00346A40" w:rsidRPr="00346A40">
        <w:t xml:space="preserve"> v prihodnosti negativen, selitveni pa je predpostavljen razmeroma visoko</w:t>
      </w:r>
      <w:r w:rsidR="009D080E">
        <w:t>, kar blaži upadanje</w:t>
      </w:r>
      <w:r w:rsidR="00C3554B">
        <w:t xml:space="preserve"> </w:t>
      </w:r>
      <w:r w:rsidR="00346A40" w:rsidRPr="00346A40">
        <w:t>števil</w:t>
      </w:r>
      <w:r w:rsidR="00C84F72">
        <w:t>a</w:t>
      </w:r>
      <w:r w:rsidR="00346A40" w:rsidRPr="00346A40">
        <w:t xml:space="preserve"> prebivalcev</w:t>
      </w:r>
      <w:bookmarkEnd w:id="51"/>
    </w:p>
    <w:p w14:paraId="701F073A" w14:textId="24538EAF" w:rsidR="000826E9" w:rsidRDefault="004256C7" w:rsidP="000D324B">
      <w:pPr>
        <w:pStyle w:val="BesediloUMAR"/>
      </w:pPr>
      <w:r w:rsidRPr="004256C7">
        <w:rPr>
          <w:noProof/>
        </w:rPr>
        <w:drawing>
          <wp:inline distT="0" distB="0" distL="0" distR="0" wp14:anchorId="2DD8A2CC" wp14:editId="341BC170">
            <wp:extent cx="5759450" cy="2039873"/>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9450" cy="2039873"/>
                    </a:xfrm>
                    <a:prstGeom prst="rect">
                      <a:avLst/>
                    </a:prstGeom>
                    <a:noFill/>
                    <a:ln>
                      <a:noFill/>
                    </a:ln>
                  </pic:spPr>
                </pic:pic>
              </a:graphicData>
            </a:graphic>
          </wp:inline>
        </w:drawing>
      </w:r>
    </w:p>
    <w:p w14:paraId="2E4DC2E5" w14:textId="3E9D3C41" w:rsidR="00EA2A47" w:rsidRPr="00EA2A47" w:rsidRDefault="00EA2A47" w:rsidP="00463F81">
      <w:pPr>
        <w:pStyle w:val="VirUMAR"/>
      </w:pPr>
      <w:r w:rsidRPr="00EA2A47">
        <w:t xml:space="preserve">Vir: </w:t>
      </w:r>
      <w:r w:rsidRPr="00EA2A47">
        <w:fldChar w:fldCharType="begin"/>
      </w:r>
      <w:r w:rsidR="00CB4EF9">
        <w:instrText xml:space="preserve"> ADDIN ZOTERO_ITEM CSL_CITATION {"citationID":"afvWYJcs","properties":{"custom":"SURS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rsidRPr="00EA2A47">
        <w:fldChar w:fldCharType="separate"/>
      </w:r>
      <w:r w:rsidRPr="00EA2A47">
        <w:t>SURS (2023),</w:t>
      </w:r>
      <w:r w:rsidRPr="00EA2A47">
        <w:fldChar w:fldCharType="end"/>
      </w:r>
      <w:r w:rsidRPr="00EA2A47">
        <w:t xml:space="preserve"> </w:t>
      </w:r>
      <w:r w:rsidRPr="00EA2A47">
        <w:fldChar w:fldCharType="begin"/>
      </w:r>
      <w:r w:rsidR="00CB4EF9">
        <w:instrText xml:space="preserve"> ADDIN ZOTERO_ITEM CSL_CITATION {"citationID":"hUKmmkO2","properties":{"custom":"Eurostat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000D0EB2">
        <w:t>.</w:t>
      </w:r>
    </w:p>
    <w:p w14:paraId="6F98E098" w14:textId="77777777" w:rsidR="00295807" w:rsidRDefault="00295807" w:rsidP="000D324B">
      <w:pPr>
        <w:pStyle w:val="BesediloUMAR"/>
        <w:rPr>
          <w:rStyle w:val="BoldpoudarekUMAR"/>
        </w:rPr>
      </w:pPr>
    </w:p>
    <w:p w14:paraId="47CC099B" w14:textId="77777777" w:rsidR="00831A62" w:rsidRDefault="00831A62" w:rsidP="000D324B">
      <w:pPr>
        <w:pStyle w:val="BesediloUMAR"/>
        <w:rPr>
          <w:rStyle w:val="BoldpoudarekUMAR"/>
        </w:rPr>
      </w:pPr>
    </w:p>
    <w:p w14:paraId="0903EF3E" w14:textId="77777777" w:rsidR="00831A62" w:rsidRDefault="00831A62" w:rsidP="000D324B">
      <w:pPr>
        <w:pStyle w:val="BesediloUMAR"/>
        <w:rPr>
          <w:rStyle w:val="BoldpoudarekUMAR"/>
        </w:rPr>
      </w:pPr>
    </w:p>
    <w:p w14:paraId="6F6ECDEA" w14:textId="2BBF3171" w:rsidR="00EC0F5F" w:rsidRDefault="00EC0F5F" w:rsidP="000D324B">
      <w:pPr>
        <w:pStyle w:val="BesediloUMAR"/>
      </w:pPr>
      <w:r w:rsidRPr="00C633C6">
        <w:rPr>
          <w:rStyle w:val="BoldpoudarekUMAR"/>
        </w:rPr>
        <w:lastRenderedPageBreak/>
        <w:t>V povprečju</w:t>
      </w:r>
      <w:r w:rsidR="00CB1322">
        <w:rPr>
          <w:rStyle w:val="BoldpoudarekUMAR"/>
        </w:rPr>
        <w:t xml:space="preserve"> na leto</w:t>
      </w:r>
      <w:r w:rsidR="009E0D23" w:rsidRPr="00C633C6">
        <w:rPr>
          <w:rStyle w:val="BoldpoudarekUMAR"/>
        </w:rPr>
        <w:t xml:space="preserve"> </w:t>
      </w:r>
      <w:r w:rsidRPr="00C633C6">
        <w:rPr>
          <w:rStyle w:val="BoldpoudarekUMAR"/>
        </w:rPr>
        <w:t xml:space="preserve">je </w:t>
      </w:r>
      <w:r w:rsidR="009E0D23" w:rsidRPr="00C633C6">
        <w:rPr>
          <w:rStyle w:val="BoldpoudarekUMAR"/>
        </w:rPr>
        <w:t xml:space="preserve">bil </w:t>
      </w:r>
      <w:r w:rsidRPr="00C633C6">
        <w:rPr>
          <w:rStyle w:val="BoldpoudarekUMAR"/>
        </w:rPr>
        <w:t>selitveni pri</w:t>
      </w:r>
      <w:r w:rsidR="009E0D23" w:rsidRPr="00C633C6">
        <w:rPr>
          <w:rStyle w:val="BoldpoudarekUMAR"/>
        </w:rPr>
        <w:t>ra</w:t>
      </w:r>
      <w:r w:rsidRPr="00C633C6">
        <w:rPr>
          <w:rStyle w:val="BoldpoudarekUMAR"/>
        </w:rPr>
        <w:t>s</w:t>
      </w:r>
      <w:r w:rsidR="009E0D23" w:rsidRPr="00C633C6">
        <w:rPr>
          <w:rStyle w:val="BoldpoudarekUMAR"/>
        </w:rPr>
        <w:t>t</w:t>
      </w:r>
      <w:r w:rsidRPr="00C633C6">
        <w:rPr>
          <w:rStyle w:val="BoldpoudarekUMAR"/>
        </w:rPr>
        <w:t xml:space="preserve"> v </w:t>
      </w:r>
      <w:r w:rsidRPr="00852D50">
        <w:rPr>
          <w:rStyle w:val="BoldpoudarekUMAR"/>
        </w:rPr>
        <w:t>obdobju 1995</w:t>
      </w:r>
      <w:r w:rsidR="009E0D23" w:rsidRPr="00852D50">
        <w:rPr>
          <w:rStyle w:val="BoldpoudarekUMAR"/>
        </w:rPr>
        <w:t>–</w:t>
      </w:r>
      <w:r w:rsidRPr="00852D50">
        <w:rPr>
          <w:rStyle w:val="BoldpoudarekUMAR"/>
        </w:rPr>
        <w:t>202</w:t>
      </w:r>
      <w:r w:rsidR="007D2AE4">
        <w:rPr>
          <w:rStyle w:val="BoldpoudarekUMAR"/>
        </w:rPr>
        <w:t>2</w:t>
      </w:r>
      <w:r w:rsidR="006C0AF7" w:rsidRPr="00852D50">
        <w:rPr>
          <w:rStyle w:val="BoldpoudarekUMAR"/>
        </w:rPr>
        <w:t xml:space="preserve"> </w:t>
      </w:r>
      <w:r w:rsidR="006110B3" w:rsidRPr="00852D50">
        <w:rPr>
          <w:rStyle w:val="BoldpoudarekUMAR"/>
        </w:rPr>
        <w:t>5</w:t>
      </w:r>
      <w:r w:rsidR="00095EDD" w:rsidRPr="00852D50">
        <w:rPr>
          <w:rStyle w:val="BoldpoudarekUMAR"/>
        </w:rPr>
        <w:t>47</w:t>
      </w:r>
      <w:r w:rsidR="000B3257" w:rsidRPr="00852D50">
        <w:rPr>
          <w:rStyle w:val="BoldpoudarekUMAR"/>
        </w:rPr>
        <w:t>0</w:t>
      </w:r>
      <w:r w:rsidR="006110B3" w:rsidRPr="00852D50">
        <w:rPr>
          <w:rStyle w:val="BoldpoudarekUMAR"/>
        </w:rPr>
        <w:t xml:space="preserve"> oseb</w:t>
      </w:r>
      <w:r w:rsidR="009D080E" w:rsidRPr="00852D50">
        <w:rPr>
          <w:rStyle w:val="BoldpoudarekUMAR"/>
        </w:rPr>
        <w:t>.</w:t>
      </w:r>
      <w:r w:rsidR="004424A6" w:rsidRPr="00852D50">
        <w:rPr>
          <w:rStyle w:val="BoldpoudarekUMAR"/>
        </w:rPr>
        <w:t xml:space="preserve"> </w:t>
      </w:r>
      <w:r w:rsidR="00B452F5" w:rsidRPr="00852D50">
        <w:t xml:space="preserve">Neto selitveni prirast je v preteklosti </w:t>
      </w:r>
      <w:r w:rsidR="003A2050" w:rsidRPr="00852D50">
        <w:t xml:space="preserve">precej </w:t>
      </w:r>
      <w:r w:rsidR="00B452F5" w:rsidRPr="00852D50">
        <w:t xml:space="preserve">nihal glede na stanje gospodarskega cikla in povpraševanja po (določeni) delovni sili. </w:t>
      </w:r>
      <w:r w:rsidR="00741410">
        <w:br/>
      </w:r>
      <w:r w:rsidR="006C0AF7" w:rsidRPr="00852D50">
        <w:t>V povprečju se je letno v Slovenijo p</w:t>
      </w:r>
      <w:r w:rsidR="006110B3" w:rsidRPr="00852D50">
        <w:t xml:space="preserve">riselilo </w:t>
      </w:r>
      <w:r w:rsidR="000B3257" w:rsidRPr="00852D50">
        <w:t>17.101</w:t>
      </w:r>
      <w:r w:rsidR="009E0D23" w:rsidRPr="00852D50">
        <w:t xml:space="preserve"> oseb, odselilo pa </w:t>
      </w:r>
      <w:r w:rsidR="006110B3" w:rsidRPr="00852D50">
        <w:t>11</w:t>
      </w:r>
      <w:r w:rsidR="009E0D23" w:rsidRPr="00852D50">
        <w:t>.</w:t>
      </w:r>
      <w:r w:rsidR="000B3257" w:rsidRPr="00852D50">
        <w:t>631</w:t>
      </w:r>
      <w:r w:rsidR="006C0AF7" w:rsidRPr="00852D50">
        <w:t>,</w:t>
      </w:r>
      <w:r w:rsidR="00587748" w:rsidRPr="00852D50">
        <w:t xml:space="preserve"> </w:t>
      </w:r>
      <w:r w:rsidR="00852D50" w:rsidRPr="00852D50">
        <w:t xml:space="preserve">slovenskih državljanov je bilo v povprečju na leto </w:t>
      </w:r>
      <w:r w:rsidR="00587748" w:rsidRPr="00852D50">
        <w:t>med priseljenimi</w:t>
      </w:r>
      <w:r w:rsidR="006402A8" w:rsidRPr="00852D50">
        <w:t xml:space="preserve"> </w:t>
      </w:r>
      <w:r w:rsidR="00587748" w:rsidRPr="00852D50">
        <w:t>2</w:t>
      </w:r>
      <w:r w:rsidR="006402A8" w:rsidRPr="00852D50">
        <w:t>628</w:t>
      </w:r>
      <w:r w:rsidR="00C633C6" w:rsidRPr="00852D50">
        <w:t xml:space="preserve">, </w:t>
      </w:r>
      <w:r w:rsidR="006402A8" w:rsidRPr="00852D50">
        <w:t xml:space="preserve">med </w:t>
      </w:r>
      <w:r w:rsidR="002D29B8" w:rsidRPr="00852D50">
        <w:t>odseljeni</w:t>
      </w:r>
      <w:r w:rsidR="006402A8" w:rsidRPr="00852D50">
        <w:t>mi</w:t>
      </w:r>
      <w:r w:rsidR="00C633C6" w:rsidRPr="00852D50">
        <w:t xml:space="preserve"> pa 4</w:t>
      </w:r>
      <w:r w:rsidR="006402A8" w:rsidRPr="00852D50">
        <w:t>342</w:t>
      </w:r>
      <w:r w:rsidR="00C633C6" w:rsidRPr="00852D50">
        <w:t>.</w:t>
      </w:r>
      <w:r w:rsidR="001D7B8C" w:rsidRPr="00852D50">
        <w:t xml:space="preserve"> Selitveni prirast državljanov je že od leta 2000 negativen</w:t>
      </w:r>
      <w:r w:rsidR="00CD294B" w:rsidRPr="00852D50">
        <w:rPr>
          <w:rStyle w:val="FootnoteReference"/>
        </w:rPr>
        <w:footnoteReference w:id="13"/>
      </w:r>
      <w:r w:rsidR="001D7B8C" w:rsidRPr="00852D50">
        <w:t xml:space="preserve">. Največ neto odselitev državljanov je bilo v obdobju 2012–2017, </w:t>
      </w:r>
      <w:r w:rsidR="001D17BA" w:rsidRPr="00852D50">
        <w:t xml:space="preserve">v povprečju </w:t>
      </w:r>
      <w:r w:rsidR="007E50FB">
        <w:t>8.575 na leto</w:t>
      </w:r>
      <w:r w:rsidR="001D7B8C" w:rsidRPr="00852D50">
        <w:t>.</w:t>
      </w:r>
    </w:p>
    <w:p w14:paraId="450A5222" w14:textId="6B6DC3B2" w:rsidR="00FA2240" w:rsidRDefault="00FA2240" w:rsidP="00B84C29">
      <w:pPr>
        <w:pStyle w:val="Caption"/>
      </w:pPr>
      <w:bookmarkStart w:id="52" w:name="_Ref138841787"/>
      <w:bookmarkStart w:id="53" w:name="_Toc146283035"/>
      <w:r>
        <w:t xml:space="preserve">Slika </w:t>
      </w:r>
      <w:r>
        <w:fldChar w:fldCharType="begin"/>
      </w:r>
      <w:r>
        <w:instrText xml:space="preserve"> SEQ Slika \* ARABIC </w:instrText>
      </w:r>
      <w:r>
        <w:fldChar w:fldCharType="separate"/>
      </w:r>
      <w:r w:rsidR="00B3724D">
        <w:t>16</w:t>
      </w:r>
      <w:r>
        <w:fldChar w:fldCharType="end"/>
      </w:r>
      <w:bookmarkEnd w:id="52"/>
      <w:r>
        <w:t xml:space="preserve">: </w:t>
      </w:r>
      <w:r w:rsidR="00593F09">
        <w:t>Neto selitveni prirast niha v sk</w:t>
      </w:r>
      <w:r w:rsidR="00553C18">
        <w:t>l</w:t>
      </w:r>
      <w:r w:rsidR="00593F09">
        <w:t>adu z gospodarskih ciklom in potrebami po delovni sili</w:t>
      </w:r>
      <w:bookmarkEnd w:id="53"/>
      <w:r w:rsidR="0028253A">
        <w:t xml:space="preserve"> </w:t>
      </w:r>
    </w:p>
    <w:p w14:paraId="767FB8B6" w14:textId="334E584C" w:rsidR="00E820B6" w:rsidRPr="00E820B6" w:rsidRDefault="00EB4C8B" w:rsidP="007E0D40">
      <w:pPr>
        <w:pStyle w:val="BesediloUMAR"/>
      </w:pPr>
      <w:r w:rsidRPr="00EB4C8B">
        <w:rPr>
          <w:noProof/>
        </w:rPr>
        <w:drawing>
          <wp:inline distT="0" distB="0" distL="0" distR="0" wp14:anchorId="15EAB7D9" wp14:editId="5A7A8A9D">
            <wp:extent cx="5759450" cy="2143760"/>
            <wp:effectExtent l="0" t="0" r="0" b="889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9450" cy="2143760"/>
                    </a:xfrm>
                    <a:prstGeom prst="rect">
                      <a:avLst/>
                    </a:prstGeom>
                    <a:noFill/>
                    <a:ln>
                      <a:noFill/>
                    </a:ln>
                  </pic:spPr>
                </pic:pic>
              </a:graphicData>
            </a:graphic>
          </wp:inline>
        </w:drawing>
      </w:r>
    </w:p>
    <w:p w14:paraId="2505EB37" w14:textId="1458B65A" w:rsidR="000D0EB2" w:rsidRPr="00EA2A47" w:rsidRDefault="000D0EB2" w:rsidP="00463F81">
      <w:pPr>
        <w:pStyle w:val="VirUMAR"/>
      </w:pPr>
      <w:r w:rsidRPr="00EA2A47">
        <w:t xml:space="preserve">Vir: </w:t>
      </w:r>
      <w:r w:rsidRPr="00EA2A47">
        <w:fldChar w:fldCharType="begin"/>
      </w:r>
      <w:r w:rsidR="00CB4EF9">
        <w:instrText xml:space="preserve"> ADDIN ZOTERO_ITEM CSL_CITATION {"citationID":"Vk1TJzsC","properties":{"custom":"SURS (2023)","formattedCitation":"SURS (2023)","plainCitation":"SURS (2023)","noteIndex":0},"citationItems":[{"id":3867,"uris":["http://zotero.org/users/8040504/items/EGTIR2ZN"],"itemData":{"id":3867,"type":"report","event-place":"Ljubljana","genre":"Podatkovna baza","language":"sl","publisher":"Statistični urad RS","publisher-place":"Ljubljana","title":"Si-Stat","URL":"https://pxweb.stat.si/sistat/sl","author":[{"family":"SURS","given":""}],"issued":{"date-parts":[["2023"]]}}}],"schema":"https://github.com/citation-style-language/schema/raw/master/csl-citation.json"} </w:instrText>
      </w:r>
      <w:r w:rsidRPr="00EA2A47">
        <w:fldChar w:fldCharType="separate"/>
      </w:r>
      <w:r w:rsidRPr="00EA2A47">
        <w:t>SURS (2023)</w:t>
      </w:r>
      <w:r w:rsidRPr="00EA2A47">
        <w:fldChar w:fldCharType="end"/>
      </w:r>
      <w:r>
        <w:t>.</w:t>
      </w:r>
    </w:p>
    <w:p w14:paraId="3461E887" w14:textId="5CD5DE50" w:rsidR="00FA2240" w:rsidRDefault="00FA2240" w:rsidP="00463F81">
      <w:pPr>
        <w:pStyle w:val="VirUMAR"/>
      </w:pPr>
      <w:r w:rsidRPr="006E41CB">
        <w:t xml:space="preserve">Opomba: Za leto 2008 in naprej so podatki pripravljeni skladno z definicijo prebivalstva Slovenije, objavljeno leta 2008. </w:t>
      </w:r>
      <w:r w:rsidR="00AA4921">
        <w:t>Podatki za leto 2020 –</w:t>
      </w:r>
      <w:r w:rsidRPr="006E41CB">
        <w:t xml:space="preserve"> </w:t>
      </w:r>
      <w:r w:rsidR="00AA4921">
        <w:t>v</w:t>
      </w:r>
      <w:r w:rsidRPr="006E41CB">
        <w:t xml:space="preserve"> tretjem četrtletju 2020 se je v Slovenijo priselilo 15.900 ali za skoraj 93 % več prebivalcev kot v 3. četrtletju 2019. Veliko povečanje števila priseljenih je predvsem posledica določil Zakona o prijavi prebivališča (Uradni list RS, št. 52/16) in s tem prenehanja veljavnosti začasnega prebivališča v tujini. Glede na to je s 13. 8. 2020 začasni naslov v tujini prenehal veljati po uradni dolžnosti 22.248 posameznikom. Nekaj manj kot 18.500 teh oseb bi bilo po obstoječi statistični metodologiji 1. oktobra 2020 uvrščenih med prebivalce Slovenije. SURS je s pomočjo različnih dodatnih podatkovnih virov, zlasti tistih, ki določajo status aktivnosti posameznika in po katerih sklepamo o dejanskem prebivanju osebe v Sloveniji, med prebivalce Slovenije uvrstil manj kot 7500 teh oseb (od tega 97 % državljanov Slovenije in 3 % tujih državljanov). Večina teh prebivalcev se je najverjetneje priselila iz tujine že pred leti ali celo desetletji, a tega iz različnih razlogov niso prijavili na upravni enoti</w:t>
      </w:r>
      <w:r w:rsidR="002F6B56">
        <w:t xml:space="preserve"> </w:t>
      </w:r>
      <w:r w:rsidR="00804C8F">
        <w:fldChar w:fldCharType="begin"/>
      </w:r>
      <w:r w:rsidR="009927C1">
        <w:instrText xml:space="preserve"> ADDIN ZOTERO_ITEM CSL_CITATION {"citationID":"9HRsaFZj","properties":{"custom":"(Razpotnik, 2021b;\\uc0\\u160{}","formattedCitation":"(Razpotnik, 2021b;\\uc0\\u160{}","plainCitation":"(Razpotnik, 2021b; ","noteIndex":0},"citationItems":[{"id":3858,"uris":["http://zotero.org/users/8040504/items/KEC56WCS"],"itemData":{"id":3858,"type":"document","title":"Prebivalstvo, Slovenija, 1. oktober 2020. 1. oktobra 2020 v Sloveniji 2.111.461 prebivalcev ali 0,5 % več kot tri mesece prej. Končni podatki.","URL":"https://www.stat.si/StatWeb/News/Index/9347","author":[{"family":"Razpotnik","given":"Barica"}],"issued":{"date-parts":[["2021",1,29]]}}}],"schema":"https://github.com/citation-style-language/schema/raw/master/csl-citation.json"} </w:instrText>
      </w:r>
      <w:r w:rsidR="00804C8F">
        <w:fldChar w:fldCharType="separate"/>
      </w:r>
      <w:r w:rsidR="009927C1" w:rsidRPr="009927C1">
        <w:rPr>
          <w:szCs w:val="24"/>
        </w:rPr>
        <w:t>(Razpotnik, 2021b; </w:t>
      </w:r>
      <w:r w:rsidR="00804C8F">
        <w:fldChar w:fldCharType="end"/>
      </w:r>
      <w:r w:rsidR="00804C8F">
        <w:fldChar w:fldCharType="begin"/>
      </w:r>
      <w:r w:rsidR="009927C1">
        <w:instrText xml:space="preserve"> ADDIN ZOTERO_ITEM CSL_CITATION {"citationID":"TDbNEhMA","properties":{"custom":"Razpotnik idr., 2021)","formattedCitation":"Razpotnik idr., 2021)","plainCitation":"Razpotnik idr., 2021)","noteIndex":0},"citationItems":[{"id":3857,"uris":["http://zotero.org/users/8040504/items/JD9DEJ82"],"itemData":{"id":3857,"type":"document","title":"Demografski dogodki, Slovenija, 3. četrtletje 2020. V 3. četrtletju leta 2020 pozitivna naravni in selitveni prirast. Začasni podatki.","URL":"https://www.stat.si/StatWeb/News/Index/9353","author":[{"family":"Razpotnik","given":"Barica"},{"family":"Šter","given":"Darja"},{"family":"Žnidaršič","given":"Martina"}],"issued":{"date-parts":[["2021",1,29]]}}}],"schema":"https://github.com/citation-style-language/schema/raw/master/csl-citation.json"} </w:instrText>
      </w:r>
      <w:r w:rsidR="00804C8F">
        <w:fldChar w:fldCharType="separate"/>
      </w:r>
      <w:r w:rsidR="009927C1" w:rsidRPr="009927C1">
        <w:t>Razpotnik idr., 2021)</w:t>
      </w:r>
      <w:r w:rsidR="00804C8F">
        <w:fldChar w:fldCharType="end"/>
      </w:r>
      <w:r w:rsidRPr="006E41CB">
        <w:t>.</w:t>
      </w:r>
    </w:p>
    <w:p w14:paraId="4FD5A5F1" w14:textId="77777777" w:rsidR="00586766" w:rsidRPr="006E41CB" w:rsidRDefault="00586766" w:rsidP="00463F81">
      <w:pPr>
        <w:pStyle w:val="VirUMAR"/>
      </w:pPr>
    </w:p>
    <w:p w14:paraId="41DFF296" w14:textId="77777777" w:rsidR="00586766" w:rsidRDefault="00586766" w:rsidP="00DC6044">
      <w:pPr>
        <w:pStyle w:val="BesediloUMAR"/>
        <w:rPr>
          <w:rStyle w:val="BoldpoudarekUMAR"/>
        </w:rPr>
      </w:pPr>
      <w:bookmarkStart w:id="54" w:name="_Hlk138324111"/>
    </w:p>
    <w:p w14:paraId="26F9D4C7" w14:textId="01B618BE" w:rsidR="00DC6044" w:rsidRPr="006A4CE1" w:rsidRDefault="000D324B" w:rsidP="00DC6044">
      <w:pPr>
        <w:pStyle w:val="BesediloUMAR"/>
      </w:pPr>
      <w:r w:rsidRPr="005D6CB4">
        <w:rPr>
          <w:rStyle w:val="BoldpoudarekUMAR"/>
        </w:rPr>
        <w:t xml:space="preserve">Med selivci </w:t>
      </w:r>
      <w:r w:rsidR="00445428" w:rsidRPr="005D6CB4">
        <w:rPr>
          <w:rStyle w:val="BoldpoudarekUMAR"/>
        </w:rPr>
        <w:t xml:space="preserve">je </w:t>
      </w:r>
      <w:r w:rsidR="00D94014" w:rsidRPr="00D94014">
        <w:rPr>
          <w:rStyle w:val="BoldpoudarekUMAR"/>
        </w:rPr>
        <w:t>bil</w:t>
      </w:r>
      <w:r w:rsidR="00D94014">
        <w:rPr>
          <w:rStyle w:val="BoldpoudarekUMAR"/>
        </w:rPr>
        <w:t>a</w:t>
      </w:r>
      <w:r w:rsidR="00105D12">
        <w:rPr>
          <w:rStyle w:val="BoldpoudarekUMAR"/>
        </w:rPr>
        <w:t xml:space="preserve"> v</w:t>
      </w:r>
      <w:r w:rsidR="00D94014" w:rsidRPr="00D94014">
        <w:rPr>
          <w:rStyle w:val="BoldpoudarekUMAR"/>
        </w:rPr>
        <w:t xml:space="preserve"> obdobju 1995–2021</w:t>
      </w:r>
      <w:r w:rsidR="00310175">
        <w:rPr>
          <w:rStyle w:val="FootnoteReference"/>
          <w:b/>
        </w:rPr>
        <w:footnoteReference w:id="14"/>
      </w:r>
      <w:r w:rsidR="00D94014" w:rsidRPr="00D94014">
        <w:rPr>
          <w:rStyle w:val="BoldpoudarekUMAR"/>
        </w:rPr>
        <w:t xml:space="preserve"> </w:t>
      </w:r>
      <w:r w:rsidR="00445428" w:rsidRPr="005D6CB4">
        <w:rPr>
          <w:rStyle w:val="BoldpoudarekUMAR"/>
        </w:rPr>
        <w:t>večina</w:t>
      </w:r>
      <w:r w:rsidRPr="005D6CB4">
        <w:rPr>
          <w:rStyle w:val="BoldpoudarekUMAR"/>
        </w:rPr>
        <w:t xml:space="preserve"> moški</w:t>
      </w:r>
      <w:r w:rsidR="00445428" w:rsidRPr="005D6CB4">
        <w:rPr>
          <w:rStyle w:val="BoldpoudarekUMAR"/>
        </w:rPr>
        <w:t>h</w:t>
      </w:r>
      <w:r w:rsidR="00D94014">
        <w:rPr>
          <w:rStyle w:val="BoldpoudarekUMAR"/>
        </w:rPr>
        <w:t xml:space="preserve">, </w:t>
      </w:r>
      <w:r w:rsidR="007E6B77">
        <w:rPr>
          <w:rStyle w:val="BoldpoudarekUMAR"/>
        </w:rPr>
        <w:t xml:space="preserve">v </w:t>
      </w:r>
      <w:r w:rsidR="009A1EE2">
        <w:rPr>
          <w:rStyle w:val="BoldpoudarekUMAR"/>
        </w:rPr>
        <w:t>povprečju</w:t>
      </w:r>
      <w:r w:rsidR="007E6B77">
        <w:rPr>
          <w:rStyle w:val="BoldpoudarekUMAR"/>
        </w:rPr>
        <w:t xml:space="preserve"> starejši</w:t>
      </w:r>
      <w:r w:rsidR="00105D12">
        <w:rPr>
          <w:rStyle w:val="BoldpoudarekUMAR"/>
        </w:rPr>
        <w:t>h</w:t>
      </w:r>
      <w:r w:rsidR="007E6B77">
        <w:rPr>
          <w:rStyle w:val="BoldpoudarekUMAR"/>
        </w:rPr>
        <w:t xml:space="preserve"> od 30 let, selili pa so se z namenom zaposlitve</w:t>
      </w:r>
      <w:r w:rsidRPr="005D6CB4">
        <w:rPr>
          <w:rStyle w:val="BoldpoudarekUMAR"/>
        </w:rPr>
        <w:t xml:space="preserve">. </w:t>
      </w:r>
      <w:r w:rsidR="00D94014" w:rsidRPr="00377EEE">
        <w:t>Med priseljenimi in odseljenimi</w:t>
      </w:r>
      <w:r w:rsidR="00377EEE" w:rsidRPr="00377EEE">
        <w:t xml:space="preserve"> osebami </w:t>
      </w:r>
      <w:r w:rsidR="0026009F">
        <w:t>sta</w:t>
      </w:r>
      <w:r w:rsidR="00D94014" w:rsidRPr="00377EEE">
        <w:t xml:space="preserve"> okoli dve tretjin</w:t>
      </w:r>
      <w:r w:rsidR="0026009F">
        <w:t>i</w:t>
      </w:r>
      <w:r w:rsidR="00D94014" w:rsidRPr="00377EEE">
        <w:t xml:space="preserve"> moških, </w:t>
      </w:r>
      <w:r w:rsidR="00377EEE">
        <w:t>pri tujcih je ta delež okoli 70-odstoten, pri državljanih znaša dobro polovico</w:t>
      </w:r>
      <w:r w:rsidR="006E078D" w:rsidRPr="00445428">
        <w:t xml:space="preserve">. </w:t>
      </w:r>
      <w:r w:rsidR="003179F6">
        <w:t>M</w:t>
      </w:r>
      <w:r w:rsidR="009C259C" w:rsidRPr="00445428">
        <w:t>ladih</w:t>
      </w:r>
      <w:r w:rsidRPr="00445428">
        <w:t xml:space="preserve"> (</w:t>
      </w:r>
      <w:r w:rsidR="003179F6">
        <w:t>0–</w:t>
      </w:r>
      <w:r w:rsidRPr="00445428">
        <w:t>1</w:t>
      </w:r>
      <w:r w:rsidR="009C259C" w:rsidRPr="00445428">
        <w:t>9</w:t>
      </w:r>
      <w:r w:rsidRPr="00445428">
        <w:t xml:space="preserve"> let) je bilo v </w:t>
      </w:r>
      <w:r w:rsidRPr="000A378D">
        <w:t>selitvenem prirastu</w:t>
      </w:r>
      <w:r w:rsidR="007D5B2D">
        <w:rPr>
          <w:rStyle w:val="FootnoteReference"/>
        </w:rPr>
        <w:footnoteReference w:id="15"/>
      </w:r>
      <w:r w:rsidRPr="000A378D">
        <w:t xml:space="preserve"> </w:t>
      </w:r>
      <w:r w:rsidR="009C259C" w:rsidRPr="000A378D">
        <w:t>v</w:t>
      </w:r>
      <w:r w:rsidR="009C259C" w:rsidRPr="00445428">
        <w:t xml:space="preserve"> obdobju 1995–2021 </w:t>
      </w:r>
      <w:r w:rsidR="006826E8" w:rsidRPr="00445428">
        <w:t>24,2</w:t>
      </w:r>
      <w:r w:rsidRPr="00445428">
        <w:t xml:space="preserve"> %, </w:t>
      </w:r>
      <w:r w:rsidR="006826E8" w:rsidRPr="00445428">
        <w:t xml:space="preserve">delovno sposobnih </w:t>
      </w:r>
      <w:r w:rsidR="00B85775">
        <w:t>(</w:t>
      </w:r>
      <w:r w:rsidR="006826E8" w:rsidRPr="00445428">
        <w:t>20–64 let</w:t>
      </w:r>
      <w:r w:rsidR="00B85775">
        <w:t>)</w:t>
      </w:r>
      <w:r w:rsidR="006826E8" w:rsidRPr="00445428">
        <w:t xml:space="preserve"> 74,1 %, </w:t>
      </w:r>
      <w:r w:rsidRPr="00445428">
        <w:t xml:space="preserve">starejših od 65 let pa </w:t>
      </w:r>
      <w:r w:rsidR="006826E8" w:rsidRPr="00445428">
        <w:t>1,6</w:t>
      </w:r>
      <w:r w:rsidR="00BD0D97">
        <w:t> </w:t>
      </w:r>
      <w:r w:rsidRPr="00445428">
        <w:t>%.</w:t>
      </w:r>
      <w:r w:rsidR="003E41A5" w:rsidRPr="00445428">
        <w:t xml:space="preserve"> </w:t>
      </w:r>
      <w:r w:rsidR="00833ABA" w:rsidRPr="00445428">
        <w:t xml:space="preserve">Med tujci je </w:t>
      </w:r>
      <w:r w:rsidR="00B85775">
        <w:t xml:space="preserve">bilo </w:t>
      </w:r>
      <w:r w:rsidR="00833ABA" w:rsidRPr="00445428">
        <w:t xml:space="preserve">85 % priseljenih in odseljenih starih </w:t>
      </w:r>
      <w:r w:rsidR="00445428" w:rsidRPr="00445428">
        <w:t xml:space="preserve">med 15–54 let, med državljani </w:t>
      </w:r>
      <w:r w:rsidR="000C7066">
        <w:t xml:space="preserve">v tej starostni skupini </w:t>
      </w:r>
      <w:r w:rsidR="00445428" w:rsidRPr="00445428">
        <w:t xml:space="preserve">pa </w:t>
      </w:r>
      <w:r w:rsidR="00B85775">
        <w:t xml:space="preserve">jih </w:t>
      </w:r>
      <w:r w:rsidR="00445428" w:rsidRPr="00445428">
        <w:t xml:space="preserve">je </w:t>
      </w:r>
      <w:r w:rsidR="00B85775">
        <w:t xml:space="preserve">bilo med </w:t>
      </w:r>
      <w:r w:rsidR="000C7066">
        <w:t>priseljeni</w:t>
      </w:r>
      <w:r w:rsidR="00B85775">
        <w:t>mi</w:t>
      </w:r>
      <w:r w:rsidR="00445428" w:rsidRPr="00445428">
        <w:t xml:space="preserve"> 55 %, </w:t>
      </w:r>
      <w:r w:rsidR="00B85775">
        <w:t xml:space="preserve">med </w:t>
      </w:r>
      <w:r w:rsidR="009A1EE2">
        <w:t>odseljeni</w:t>
      </w:r>
      <w:r w:rsidR="00B85775">
        <w:t>mi</w:t>
      </w:r>
      <w:r w:rsidR="00445428" w:rsidRPr="00445428">
        <w:t xml:space="preserve"> pa 69 %. </w:t>
      </w:r>
      <w:r w:rsidR="006F22F4">
        <w:t xml:space="preserve">Povprečna starost priseljenih tujcev v </w:t>
      </w:r>
      <w:r w:rsidR="009A1EE2">
        <w:t>Slovenijo</w:t>
      </w:r>
      <w:r w:rsidR="006F22F4">
        <w:t xml:space="preserve"> je bila okoli 3</w:t>
      </w:r>
      <w:r w:rsidR="007E6B77">
        <w:t>2,8</w:t>
      </w:r>
      <w:r w:rsidR="006F22F4">
        <w:t xml:space="preserve"> let</w:t>
      </w:r>
      <w:r w:rsidR="00A36B97">
        <w:t>a</w:t>
      </w:r>
      <w:r w:rsidR="006F22F4">
        <w:t xml:space="preserve">, odseljenih pa </w:t>
      </w:r>
      <w:r w:rsidR="00400D8A">
        <w:t>35</w:t>
      </w:r>
      <w:r w:rsidR="007E6B77">
        <w:t>,3</w:t>
      </w:r>
      <w:r w:rsidR="006F22F4">
        <w:t xml:space="preserve"> let</w:t>
      </w:r>
      <w:r w:rsidR="00A36B97">
        <w:t>a</w:t>
      </w:r>
      <w:r w:rsidR="006F22F4">
        <w:t xml:space="preserve">, povprečna starost </w:t>
      </w:r>
      <w:r w:rsidR="00400D8A">
        <w:t>o</w:t>
      </w:r>
      <w:r w:rsidR="006F22F4">
        <w:t>d</w:t>
      </w:r>
      <w:r w:rsidR="00400D8A">
        <w:t>s</w:t>
      </w:r>
      <w:r w:rsidR="006F22F4">
        <w:t xml:space="preserve">eljenih Slovencev v tujino je bila </w:t>
      </w:r>
      <w:r w:rsidR="00400D8A">
        <w:t xml:space="preserve">okoli </w:t>
      </w:r>
      <w:r w:rsidR="007E6B77">
        <w:t>35,7</w:t>
      </w:r>
      <w:r w:rsidR="00997E25">
        <w:t xml:space="preserve"> let</w:t>
      </w:r>
      <w:r w:rsidR="00A36B97">
        <w:t>a</w:t>
      </w:r>
      <w:r w:rsidR="006F22F4">
        <w:t xml:space="preserve">, </w:t>
      </w:r>
      <w:r w:rsidR="00D23B65">
        <w:t xml:space="preserve">vračali </w:t>
      </w:r>
      <w:r w:rsidR="006F22F4">
        <w:t xml:space="preserve">pa so se okoli </w:t>
      </w:r>
      <w:r w:rsidR="007E6B77">
        <w:t>2</w:t>
      </w:r>
      <w:r w:rsidR="006F22F4">
        <w:t xml:space="preserve"> let</w:t>
      </w:r>
      <w:r w:rsidR="000958DE">
        <w:t>i</w:t>
      </w:r>
      <w:r w:rsidR="006F22F4">
        <w:t xml:space="preserve"> starejši</w:t>
      </w:r>
      <w:r w:rsidR="007E6B77">
        <w:t xml:space="preserve"> (37,9</w:t>
      </w:r>
      <w:r w:rsidR="00997E25">
        <w:t xml:space="preserve"> let</w:t>
      </w:r>
      <w:r w:rsidR="00A36B97">
        <w:t>a</w:t>
      </w:r>
      <w:r w:rsidR="007E6B77">
        <w:t>)</w:t>
      </w:r>
      <w:r w:rsidR="009A6242">
        <w:t>.</w:t>
      </w:r>
      <w:r w:rsidR="009841E9">
        <w:t xml:space="preserve"> </w:t>
      </w:r>
      <w:r w:rsidR="00DC6044" w:rsidRPr="006A4CE1">
        <w:t xml:space="preserve">Največ tujcev </w:t>
      </w:r>
      <w:r w:rsidR="00FD679E" w:rsidRPr="006A4CE1">
        <w:t>se k nam priseli</w:t>
      </w:r>
      <w:r w:rsidR="00DC6044" w:rsidRPr="006A4CE1">
        <w:t xml:space="preserve"> iz </w:t>
      </w:r>
      <w:r w:rsidR="00993993" w:rsidRPr="006A4CE1">
        <w:t>držav</w:t>
      </w:r>
      <w:r w:rsidR="00DC6044" w:rsidRPr="006A4CE1">
        <w:t xml:space="preserve"> </w:t>
      </w:r>
      <w:r w:rsidR="00194DAD" w:rsidRPr="006A4CE1">
        <w:t>oz. območij nekdanje</w:t>
      </w:r>
      <w:r w:rsidR="00DC6044" w:rsidRPr="006A4CE1">
        <w:t xml:space="preserve"> Jugoslavije (</w:t>
      </w:r>
      <w:r w:rsidR="00993993" w:rsidRPr="006A4CE1">
        <w:t xml:space="preserve">2021: </w:t>
      </w:r>
      <w:r w:rsidR="00DC6044" w:rsidRPr="006A4CE1">
        <w:t>8</w:t>
      </w:r>
      <w:r w:rsidR="00993993" w:rsidRPr="006A4CE1">
        <w:t>1</w:t>
      </w:r>
      <w:r w:rsidR="006723C9">
        <w:t>,8</w:t>
      </w:r>
      <w:r w:rsidR="00BD0D97">
        <w:t> </w:t>
      </w:r>
      <w:r w:rsidR="00DC6044" w:rsidRPr="006A4CE1">
        <w:t xml:space="preserve">%), </w:t>
      </w:r>
      <w:r w:rsidR="00997E25">
        <w:t xml:space="preserve">med temi pa </w:t>
      </w:r>
      <w:r w:rsidR="00DC6044" w:rsidRPr="006A4CE1">
        <w:t xml:space="preserve">največ </w:t>
      </w:r>
      <w:r w:rsidR="006957C9">
        <w:t xml:space="preserve">že od leta 1996, odkar so na voljo </w:t>
      </w:r>
      <w:r w:rsidR="009A1EE2">
        <w:t>podatki</w:t>
      </w:r>
      <w:r w:rsidR="006957C9">
        <w:t xml:space="preserve">, </w:t>
      </w:r>
      <w:r w:rsidR="00DC6044" w:rsidRPr="006A4CE1">
        <w:t>iz BiH (202</w:t>
      </w:r>
      <w:r w:rsidR="00993993" w:rsidRPr="006A4CE1">
        <w:t>1</w:t>
      </w:r>
      <w:r w:rsidR="00DC6044" w:rsidRPr="006A4CE1">
        <w:t xml:space="preserve">: </w:t>
      </w:r>
      <w:r w:rsidR="00D4641C">
        <w:t xml:space="preserve">52 % oz. </w:t>
      </w:r>
      <w:r w:rsidR="00DC6044" w:rsidRPr="006A4CE1">
        <w:t>4</w:t>
      </w:r>
      <w:r w:rsidR="00D4641C">
        <w:t>2</w:t>
      </w:r>
      <w:r w:rsidR="00DC6044" w:rsidRPr="006A4CE1">
        <w:t>,</w:t>
      </w:r>
      <w:r w:rsidR="00D4641C" w:rsidRPr="008F273D">
        <w:t>5</w:t>
      </w:r>
      <w:r w:rsidR="00DC6044" w:rsidRPr="008F273D">
        <w:t xml:space="preserve"> %</w:t>
      </w:r>
      <w:r w:rsidR="007563CE" w:rsidRPr="008F273D">
        <w:t xml:space="preserve"> vseh </w:t>
      </w:r>
      <w:r w:rsidR="00D4641C" w:rsidRPr="008F273D">
        <w:t xml:space="preserve">priseljenih </w:t>
      </w:r>
      <w:r w:rsidR="007563CE" w:rsidRPr="008F273D">
        <w:t>tujcev</w:t>
      </w:r>
      <w:r w:rsidR="00DC6044" w:rsidRPr="008F273D">
        <w:t>)</w:t>
      </w:r>
      <w:r w:rsidR="00ED30D5" w:rsidRPr="008F273D">
        <w:t>.</w:t>
      </w:r>
      <w:r w:rsidR="00ED30D5" w:rsidRPr="006A4CE1">
        <w:t xml:space="preserve"> </w:t>
      </w:r>
      <w:r w:rsidR="00EF6688">
        <w:t xml:space="preserve">Leta 2021 se je z namenom zaposlitve v Slovenijo priselilo 53 % tujcev, z namenom združitve z družino pa 35 %. </w:t>
      </w:r>
      <w:r w:rsidR="00B32D3C">
        <w:t xml:space="preserve">Zaradi </w:t>
      </w:r>
      <w:r w:rsidR="00344C83">
        <w:t>študija jih je prišlo 7 %.</w:t>
      </w:r>
      <w:r w:rsidR="00D23B65">
        <w:t xml:space="preserve"> </w:t>
      </w:r>
      <w:r w:rsidR="0098155A" w:rsidRPr="00B14E51">
        <w:t xml:space="preserve">Največ državljanov Slovenije se izseli v Avstrijo in Nemčijo (2021: 22,0 % in </w:t>
      </w:r>
      <w:r w:rsidR="00EF1BE8" w:rsidRPr="00B14E51">
        <w:t>18,9 %), Hrvaško (12,6 %) in Švico</w:t>
      </w:r>
      <w:r w:rsidR="00B14E51" w:rsidRPr="00B14E51">
        <w:t xml:space="preserve"> (9,1 %)</w:t>
      </w:r>
      <w:r w:rsidR="00EF1BE8" w:rsidRPr="00B14E51">
        <w:t xml:space="preserve">, v ostale države EU </w:t>
      </w:r>
      <w:r w:rsidR="00D466E1">
        <w:t>pa</w:t>
      </w:r>
      <w:r w:rsidR="00EF1BE8" w:rsidRPr="00B14E51">
        <w:t xml:space="preserve"> 10,9 %.</w:t>
      </w:r>
      <w:r w:rsidR="001F255E">
        <w:t xml:space="preserve"> </w:t>
      </w:r>
      <w:r w:rsidR="001F255E" w:rsidRPr="001F255E">
        <w:t>V obdobju 2011–2021 je bilo med priseljenimi v Slovenijo</w:t>
      </w:r>
      <w:r w:rsidR="006B3D5B">
        <w:t>,</w:t>
      </w:r>
      <w:r w:rsidR="001F255E" w:rsidRPr="001F255E">
        <w:t xml:space="preserve"> starimi 15 let in več</w:t>
      </w:r>
      <w:r w:rsidR="006B3D5B">
        <w:t>,</w:t>
      </w:r>
      <w:r w:rsidR="001F255E" w:rsidRPr="001F255E">
        <w:t xml:space="preserve"> 14,5 % oseb s terciarno izobrazbo (med priseljenimi državljani jih je bilo takih 31,6 %, med priseljenimi tujci pa 10,5 %). Med odseljenimi je bilo terciarno izobraženih 18,6 % (med odseljenimi državljani 29,3 %, med odseljenimi tujci pa 9,8 %). </w:t>
      </w:r>
      <w:r w:rsidR="00EE2057">
        <w:t xml:space="preserve">V absolutnem smislu </w:t>
      </w:r>
      <w:r w:rsidR="00EE2057">
        <w:lastRenderedPageBreak/>
        <w:t xml:space="preserve">pa </w:t>
      </w:r>
      <w:r w:rsidR="00672E25">
        <w:t>je bil, pričakovano,</w:t>
      </w:r>
      <w:r w:rsidR="00EE2057" w:rsidRPr="00EE2057">
        <w:t xml:space="preserve"> </w:t>
      </w:r>
      <w:r w:rsidR="00C260BC">
        <w:t>največji neto selitveni prirast oseb s srednješolsko izbrazbo (v obdobju 2011–2021 skupaj 29.504 oseb)</w:t>
      </w:r>
      <w:r w:rsidR="000E7AE6">
        <w:t xml:space="preserve">, ki mu sledijo </w:t>
      </w:r>
      <w:r w:rsidR="00EE2057" w:rsidRPr="00EE2057">
        <w:t>oseb</w:t>
      </w:r>
      <w:r w:rsidR="000E7AE6">
        <w:t>e</w:t>
      </w:r>
      <w:r w:rsidR="00EE2057" w:rsidRPr="00EE2057">
        <w:t xml:space="preserve"> z osnovnošolsko izobrazbo </w:t>
      </w:r>
      <w:r w:rsidR="000E7AE6">
        <w:t>(</w:t>
      </w:r>
      <w:r w:rsidR="00EE2057" w:rsidRPr="00EE2057">
        <w:t>17.483 oseb</w:t>
      </w:r>
      <w:r w:rsidR="000E7AE6">
        <w:t>)</w:t>
      </w:r>
      <w:r w:rsidR="00EE2057" w:rsidRPr="00EE2057">
        <w:t xml:space="preserve">, le malenkost pozitiven pa </w:t>
      </w:r>
      <w:r w:rsidR="000E7AE6">
        <w:t xml:space="preserve">je bil neto seitveni prirast </w:t>
      </w:r>
      <w:r w:rsidR="00EE2057" w:rsidRPr="00EE2057">
        <w:t>terciarno izobra</w:t>
      </w:r>
      <w:r w:rsidR="000E7AE6">
        <w:t>ženih</w:t>
      </w:r>
      <w:r w:rsidR="00EE2057" w:rsidRPr="00EE2057">
        <w:t xml:space="preserve"> (553 oseb</w:t>
      </w:r>
      <w:r w:rsidR="00F85C52" w:rsidRPr="006E7431">
        <w:rPr>
          <w:rStyle w:val="FootnoteReference"/>
        </w:rPr>
        <w:footnoteReference w:id="16"/>
      </w:r>
      <w:r w:rsidR="00F85C52">
        <w:t>)</w:t>
      </w:r>
      <w:r w:rsidR="00886081">
        <w:t>.</w:t>
      </w:r>
    </w:p>
    <w:p w14:paraId="423533E5" w14:textId="4F57F770" w:rsidR="00DF38A2" w:rsidRPr="00831A62" w:rsidRDefault="00DF38A2" w:rsidP="00B84C29">
      <w:pPr>
        <w:pStyle w:val="Caption"/>
      </w:pPr>
      <w:bookmarkStart w:id="55" w:name="_Toc146283036"/>
      <w:bookmarkEnd w:id="54"/>
      <w:r w:rsidRPr="00831A62">
        <w:t xml:space="preserve">Slika </w:t>
      </w:r>
      <w:r w:rsidRPr="00831A62">
        <w:fldChar w:fldCharType="begin"/>
      </w:r>
      <w:r w:rsidRPr="00831A62">
        <w:instrText xml:space="preserve"> SEQ Slika \* ARABIC </w:instrText>
      </w:r>
      <w:r w:rsidRPr="00831A62">
        <w:fldChar w:fldCharType="separate"/>
      </w:r>
      <w:r w:rsidR="00B3724D">
        <w:t>17</w:t>
      </w:r>
      <w:r w:rsidRPr="00831A62">
        <w:fldChar w:fldCharType="end"/>
      </w:r>
      <w:r w:rsidRPr="00831A62">
        <w:t xml:space="preserve">: </w:t>
      </w:r>
      <w:r w:rsidR="004B6C5F" w:rsidRPr="00831A62">
        <w:t>Stopnja splošne selivnosti</w:t>
      </w:r>
      <w:r w:rsidR="00BD0D97" w:rsidRPr="00831A62">
        <w:t>*</w:t>
      </w:r>
      <w:r w:rsidR="00553C18" w:rsidRPr="00831A62">
        <w:t xml:space="preserve"> </w:t>
      </w:r>
      <w:r w:rsidR="006C46DA" w:rsidRPr="00831A62">
        <w:t>je</w:t>
      </w:r>
      <w:r w:rsidR="00553C18" w:rsidRPr="00831A62">
        <w:t xml:space="preserve"> bil</w:t>
      </w:r>
      <w:r w:rsidR="004B6C5F" w:rsidRPr="00831A62">
        <w:t>a</w:t>
      </w:r>
      <w:r w:rsidR="006C46DA" w:rsidRPr="00831A62">
        <w:t xml:space="preserve"> v Sloveniji</w:t>
      </w:r>
      <w:r w:rsidR="00553C18" w:rsidRPr="00831A62">
        <w:t xml:space="preserve"> v obdobju </w:t>
      </w:r>
      <w:r w:rsidR="00E0203C" w:rsidRPr="00831A62">
        <w:t>1991</w:t>
      </w:r>
      <w:r w:rsidR="00553C18" w:rsidRPr="00831A62">
        <w:t>–</w:t>
      </w:r>
      <w:r w:rsidR="00E0203C" w:rsidRPr="00831A62">
        <w:t>2021</w:t>
      </w:r>
      <w:r w:rsidR="00553C18" w:rsidRPr="00831A62">
        <w:t xml:space="preserve"> nekoliko </w:t>
      </w:r>
      <w:r w:rsidR="004B6C5F" w:rsidRPr="00831A62">
        <w:t>nižja od povprečja</w:t>
      </w:r>
      <w:r w:rsidR="00553C18" w:rsidRPr="00831A62">
        <w:t xml:space="preserve"> EU</w:t>
      </w:r>
      <w:bookmarkEnd w:id="55"/>
    </w:p>
    <w:p w14:paraId="22454314" w14:textId="2A077301" w:rsidR="00DF38A2" w:rsidRDefault="00FE7BFE" w:rsidP="000D324B">
      <w:pPr>
        <w:pStyle w:val="BesediloUMAR"/>
      </w:pPr>
      <w:r w:rsidRPr="00FE7BFE">
        <w:rPr>
          <w:noProof/>
        </w:rPr>
        <w:drawing>
          <wp:inline distT="0" distB="0" distL="0" distR="0" wp14:anchorId="0191C044" wp14:editId="60D87C6A">
            <wp:extent cx="5760000" cy="2062800"/>
            <wp:effectExtent l="0" t="0" r="0" b="0"/>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000" cy="2062800"/>
                    </a:xfrm>
                    <a:prstGeom prst="rect">
                      <a:avLst/>
                    </a:prstGeom>
                    <a:noFill/>
                    <a:ln>
                      <a:noFill/>
                    </a:ln>
                  </pic:spPr>
                </pic:pic>
              </a:graphicData>
            </a:graphic>
          </wp:inline>
        </w:drawing>
      </w:r>
    </w:p>
    <w:p w14:paraId="601D7D4B" w14:textId="5E2350CB" w:rsidR="000D0EB2" w:rsidRPr="00EA2A47" w:rsidRDefault="000D0EB2" w:rsidP="00701A05">
      <w:pPr>
        <w:pStyle w:val="VirUMAR"/>
      </w:pPr>
      <w:r w:rsidRPr="00EA2A47">
        <w:t xml:space="preserve">Vir: </w:t>
      </w:r>
      <w:r w:rsidRPr="00EA2A47">
        <w:fldChar w:fldCharType="begin"/>
      </w:r>
      <w:r w:rsidR="00CB4EF9">
        <w:instrText xml:space="preserve"> ADDIN ZOTERO_ITEM CSL_CITATION {"citationID":"sTXKFPgD","properties":{"custom":"Eurostat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2879BCC6" w14:textId="458529FE" w:rsidR="00DF38A2" w:rsidRDefault="00E0203C" w:rsidP="00701A05">
      <w:pPr>
        <w:pStyle w:val="VirUMAR"/>
      </w:pPr>
      <w:r w:rsidRPr="005043D4">
        <w:t>Opomba: Navadno po</w:t>
      </w:r>
      <w:r w:rsidR="0071207A" w:rsidRPr="005043D4">
        <w:t>v</w:t>
      </w:r>
      <w:r w:rsidR="006924CE">
        <w:t>p</w:t>
      </w:r>
      <w:r w:rsidR="00F757CE" w:rsidRPr="005043D4">
        <w:t>r</w:t>
      </w:r>
      <w:r w:rsidRPr="005043D4">
        <w:t>e</w:t>
      </w:r>
      <w:r w:rsidR="005549CC" w:rsidRPr="005043D4">
        <w:t>č</w:t>
      </w:r>
      <w:r w:rsidR="005824AB" w:rsidRPr="005043D4">
        <w:t>je</w:t>
      </w:r>
      <w:r w:rsidR="005043D4" w:rsidRPr="005043D4">
        <w:t xml:space="preserve"> obdobja 1991–2021</w:t>
      </w:r>
      <w:r w:rsidR="005824AB" w:rsidRPr="005043D4">
        <w:t>. Eurostat objavl</w:t>
      </w:r>
      <w:r w:rsidR="0071207A" w:rsidRPr="005043D4">
        <w:t>j</w:t>
      </w:r>
      <w:r w:rsidR="005824AB" w:rsidRPr="005043D4">
        <w:t xml:space="preserve">a </w:t>
      </w:r>
      <w:r w:rsidR="004B6C5F" w:rsidRPr="005043D4">
        <w:t>selitveni prirast na 1000 prebivalcev</w:t>
      </w:r>
      <w:r w:rsidR="0071207A" w:rsidRPr="005043D4">
        <w:t xml:space="preserve"> p</w:t>
      </w:r>
      <w:r w:rsidR="005824AB" w:rsidRPr="005043D4">
        <w:t xml:space="preserve">od </w:t>
      </w:r>
      <w:r w:rsidR="0071207A" w:rsidRPr="005043D4">
        <w:t>imenom</w:t>
      </w:r>
      <w:r w:rsidR="005824AB" w:rsidRPr="005043D4">
        <w:t xml:space="preserve"> </w:t>
      </w:r>
      <w:r w:rsidR="0071207A" w:rsidRPr="005043D4">
        <w:t xml:space="preserve">stopnja splošne selivnosti </w:t>
      </w:r>
      <w:r w:rsidR="005824AB" w:rsidRPr="005043D4">
        <w:t>plus statistična napaka.</w:t>
      </w:r>
    </w:p>
    <w:p w14:paraId="5C886CC2" w14:textId="2C8A5792" w:rsidR="00FD393F" w:rsidRDefault="00FD393F" w:rsidP="000D324B">
      <w:pPr>
        <w:pStyle w:val="BesediloUMAR"/>
      </w:pPr>
    </w:p>
    <w:p w14:paraId="162D8F90" w14:textId="21C2ACCB" w:rsidR="00125006" w:rsidRPr="00EB4D46" w:rsidRDefault="00341353" w:rsidP="00EB4D46">
      <w:pPr>
        <w:pStyle w:val="Heading1"/>
      </w:pPr>
      <w:bookmarkStart w:id="56" w:name="_Toc146283016"/>
      <w:bookmarkEnd w:id="49"/>
      <w:r>
        <w:lastRenderedPageBreak/>
        <w:t xml:space="preserve">Testi občutljivosti za projekcije </w:t>
      </w:r>
      <w:r w:rsidR="00065347">
        <w:t>EUROPOP2023</w:t>
      </w:r>
      <w:bookmarkEnd w:id="56"/>
    </w:p>
    <w:p w14:paraId="6CE945CD" w14:textId="77777777" w:rsidR="000A74B7" w:rsidRDefault="000A74B7" w:rsidP="000A74B7">
      <w:pPr>
        <w:pStyle w:val="BesediloUMAR"/>
      </w:pPr>
    </w:p>
    <w:p w14:paraId="4C27B60B" w14:textId="027FA81F" w:rsidR="000A74B7" w:rsidRDefault="000A74B7" w:rsidP="000A74B7">
      <w:pPr>
        <w:pStyle w:val="BesediloUMAR"/>
      </w:pPr>
      <w:r w:rsidRPr="000A74B7">
        <w:rPr>
          <w:rStyle w:val="VodilnistavekUMAR"/>
        </w:rPr>
        <w:t>Eurostat je konec maja</w:t>
      </w:r>
      <w:r w:rsidR="00552598">
        <w:rPr>
          <w:rStyle w:val="VodilnistavekUMAR"/>
        </w:rPr>
        <w:t xml:space="preserve"> 2023</w:t>
      </w:r>
      <w:r w:rsidRPr="000A74B7">
        <w:rPr>
          <w:rStyle w:val="VodilnistavekUMAR"/>
        </w:rPr>
        <w:t xml:space="preserve"> objavil še pet testov občutljivosti.</w:t>
      </w:r>
      <w:r w:rsidR="00AC73D9">
        <w:t xml:space="preserve"> </w:t>
      </w:r>
      <w:r>
        <w:t>Ti zajemajo obdobje 2023–2100 in se glede na osnovni scenarij razlikujejo tako</w:t>
      </w:r>
      <w:r w:rsidR="00586A8B">
        <w:t xml:space="preserve">, da je v vsakem scenariju spremenjena </w:t>
      </w:r>
      <w:r w:rsidR="009E596D">
        <w:t>posamezna</w:t>
      </w:r>
      <w:r w:rsidR="00586A8B">
        <w:t xml:space="preserve"> predpostavka, vse ostalo pa ostane enako:</w:t>
      </w:r>
    </w:p>
    <w:p w14:paraId="2A7FA57B" w14:textId="1ACD67F0" w:rsidR="000A74B7" w:rsidRDefault="000A74B7" w:rsidP="00341353">
      <w:pPr>
        <w:pStyle w:val="BesediloUMAR"/>
        <w:numPr>
          <w:ilvl w:val="0"/>
          <w:numId w:val="14"/>
        </w:numPr>
        <w:ind w:left="227" w:hanging="227"/>
      </w:pPr>
      <w:r>
        <w:t>scenarij nižje rodnosti – za 20 % nižje stopnje rodnosti (za Slovenij</w:t>
      </w:r>
      <w:r w:rsidR="00FA5FFC">
        <w:t>o</w:t>
      </w:r>
      <w:r>
        <w:t xml:space="preserve"> </w:t>
      </w:r>
      <w:r w:rsidR="00FA5FFC">
        <w:t>se rodnost zniža s</w:t>
      </w:r>
      <w:r>
        <w:t xml:space="preserve"> povprečne 1,68 na 1,34</w:t>
      </w:r>
      <w:r w:rsidR="00D60FD3">
        <w:t>; gl. sliko 18</w:t>
      </w:r>
      <w:r>
        <w:t xml:space="preserve">); </w:t>
      </w:r>
    </w:p>
    <w:p w14:paraId="7DFC1F38" w14:textId="74AF323A" w:rsidR="000A74B7" w:rsidRDefault="000A74B7" w:rsidP="00341353">
      <w:pPr>
        <w:pStyle w:val="BesediloUMAR"/>
        <w:numPr>
          <w:ilvl w:val="0"/>
          <w:numId w:val="14"/>
        </w:numPr>
        <w:ind w:left="227" w:hanging="227"/>
      </w:pPr>
      <w:r>
        <w:t xml:space="preserve">scenarij nižje umrljivosti – stopnje umrljivosti so nižje za toliko, da se </w:t>
      </w:r>
      <w:r w:rsidR="00770F9A">
        <w:t xml:space="preserve">pričakovano trajanje življenja </w:t>
      </w:r>
      <w:r>
        <w:t>ob rojstvu do leta 2070 podaljša za okoli 2 leti</w:t>
      </w:r>
      <w:r w:rsidR="00FA5FFC">
        <w:t xml:space="preserve"> (</w:t>
      </w:r>
      <w:r w:rsidR="00EE483A">
        <w:t>v</w:t>
      </w:r>
      <w:r w:rsidR="00FA5FFC">
        <w:t xml:space="preserve"> Sloveniji se do leta 2070 podalj</w:t>
      </w:r>
      <w:r w:rsidR="00BB11DB">
        <w:t>š</w:t>
      </w:r>
      <w:r w:rsidR="00FA5FFC">
        <w:t xml:space="preserve">a za natanko dve leti, </w:t>
      </w:r>
      <w:r w:rsidR="00D60FD3">
        <w:t xml:space="preserve">do </w:t>
      </w:r>
      <w:r w:rsidR="00FA5FFC">
        <w:t xml:space="preserve">leta 2100 pa </w:t>
      </w:r>
      <w:r w:rsidR="00D60FD3">
        <w:t xml:space="preserve">za </w:t>
      </w:r>
      <w:r w:rsidR="007C0553">
        <w:t>1,8 let</w:t>
      </w:r>
      <w:r w:rsidR="006B69A0">
        <w:t>a</w:t>
      </w:r>
      <w:r w:rsidR="007C0553">
        <w:t xml:space="preserve"> v </w:t>
      </w:r>
      <w:r w:rsidR="00D60FD3">
        <w:t xml:space="preserve">primerjavi z </w:t>
      </w:r>
      <w:r w:rsidR="007C0553">
        <w:t>osnovn</w:t>
      </w:r>
      <w:r w:rsidR="00D60FD3">
        <w:t>i</w:t>
      </w:r>
      <w:r w:rsidR="007C0553">
        <w:t>m scenarij</w:t>
      </w:r>
      <w:r w:rsidR="00D60FD3">
        <w:t>em; gl. sliko 19</w:t>
      </w:r>
      <w:r w:rsidR="007C0553">
        <w:t>)</w:t>
      </w:r>
      <w:r>
        <w:t>;</w:t>
      </w:r>
    </w:p>
    <w:p w14:paraId="4C46A8BF" w14:textId="464BB839" w:rsidR="000A74B7" w:rsidRDefault="000A74B7" w:rsidP="00341353">
      <w:pPr>
        <w:pStyle w:val="BesediloUMAR"/>
        <w:numPr>
          <w:ilvl w:val="0"/>
          <w:numId w:val="14"/>
        </w:numPr>
        <w:ind w:left="227" w:hanging="227"/>
      </w:pPr>
      <w:r>
        <w:t xml:space="preserve">scenarij višjega selitvenega prirasta – </w:t>
      </w:r>
      <w:r w:rsidR="005A079B">
        <w:t xml:space="preserve">predpostavka se v primerjavi z osnovnim scenarijem </w:t>
      </w:r>
      <w:r w:rsidR="00425020">
        <w:t>spreminja v delu selitev iz oz. v nečlanice EU, predpostavljeno je</w:t>
      </w:r>
      <w:r w:rsidR="00AC73D9">
        <w:t xml:space="preserve"> </w:t>
      </w:r>
      <w:r>
        <w:t xml:space="preserve">za 33 % več </w:t>
      </w:r>
      <w:r w:rsidRPr="00C70B02">
        <w:t>pr</w:t>
      </w:r>
      <w:r>
        <w:t>iselitev iz držav nečlanic EU (neto selitveni prirast je</w:t>
      </w:r>
      <w:r w:rsidR="0057259F">
        <w:t xml:space="preserve"> v Sloveniji tako</w:t>
      </w:r>
      <w:r>
        <w:t xml:space="preserve"> povprečno letno 9702 oseb</w:t>
      </w:r>
      <w:r w:rsidR="0057259F">
        <w:t xml:space="preserve"> v </w:t>
      </w:r>
      <w:r w:rsidR="007C6D60">
        <w:t>obd</w:t>
      </w:r>
      <w:r w:rsidR="00BB11DB">
        <w:t>o</w:t>
      </w:r>
      <w:r w:rsidR="007C6D60">
        <w:t>bju 2</w:t>
      </w:r>
      <w:r w:rsidR="00034D2A">
        <w:t>023–21</w:t>
      </w:r>
      <w:r w:rsidR="00E9087D">
        <w:t>0</w:t>
      </w:r>
      <w:r w:rsidR="00034D2A">
        <w:t>0</w:t>
      </w:r>
      <w:r w:rsidR="002D076D">
        <w:t xml:space="preserve"> –</w:t>
      </w:r>
      <w:r w:rsidR="004805A4">
        <w:t xml:space="preserve"> v</w:t>
      </w:r>
      <w:r w:rsidR="00034D2A">
        <w:t xml:space="preserve"> </w:t>
      </w:r>
      <w:r w:rsidR="0057259F">
        <w:t xml:space="preserve">primerjavi </w:t>
      </w:r>
      <w:r w:rsidR="00D60FD3">
        <w:t xml:space="preserve">s </w:t>
      </w:r>
      <w:r w:rsidR="00034D2A">
        <w:t>6108 oseb</w:t>
      </w:r>
      <w:r w:rsidR="009D6982">
        <w:t>ami</w:t>
      </w:r>
      <w:r w:rsidR="00034D2A">
        <w:t xml:space="preserve"> </w:t>
      </w:r>
      <w:r w:rsidR="0057259F">
        <w:t xml:space="preserve">v osnovnem </w:t>
      </w:r>
      <w:r w:rsidR="00BB11DB">
        <w:t>scenariju</w:t>
      </w:r>
      <w:r w:rsidR="00034D2A">
        <w:t xml:space="preserve"> v enakem obdobju</w:t>
      </w:r>
      <w:r>
        <w:t>)</w:t>
      </w:r>
      <w:r w:rsidR="007C0553">
        <w:t>;</w:t>
      </w:r>
    </w:p>
    <w:p w14:paraId="4DC47589" w14:textId="6D860073" w:rsidR="007C0553" w:rsidRDefault="007C0553" w:rsidP="00341353">
      <w:pPr>
        <w:pStyle w:val="BesediloUMAR"/>
        <w:numPr>
          <w:ilvl w:val="0"/>
          <w:numId w:val="14"/>
        </w:numPr>
        <w:ind w:left="227" w:hanging="227"/>
      </w:pPr>
      <w:r>
        <w:t xml:space="preserve">scenarij nižjega selitvenega prirasta – za 33 % manj priselitev iz držav nečlanic EU (neto selitveni prirast je povprečno letno 2583 oseb) ter </w:t>
      </w:r>
    </w:p>
    <w:p w14:paraId="04DDF3EC" w14:textId="48CC1C70" w:rsidR="00623895" w:rsidRDefault="000A74B7" w:rsidP="00341353">
      <w:pPr>
        <w:pStyle w:val="BesediloUMAR"/>
        <w:numPr>
          <w:ilvl w:val="0"/>
          <w:numId w:val="14"/>
        </w:numPr>
        <w:ind w:left="227" w:hanging="227"/>
      </w:pPr>
      <w:r>
        <w:t>scenarij brez selitvenega prirasta – neto selitveni prirast v obdobju 2023–2100</w:t>
      </w:r>
      <w:r w:rsidR="002D076D">
        <w:t xml:space="preserve"> je</w:t>
      </w:r>
      <w:r>
        <w:t xml:space="preserve"> nič</w:t>
      </w:r>
      <w:r w:rsidR="00B01B6A">
        <w:t xml:space="preserve"> (gl. sliko 20)</w:t>
      </w:r>
      <w:r>
        <w:t>.</w:t>
      </w:r>
    </w:p>
    <w:p w14:paraId="1846321B" w14:textId="0718DC04" w:rsidR="00F52D9F" w:rsidRDefault="00F52D9F" w:rsidP="00B84C29">
      <w:pPr>
        <w:pStyle w:val="Caption"/>
      </w:pPr>
      <w:bookmarkStart w:id="57" w:name="_Toc146283037"/>
      <w:r w:rsidRPr="00BD24D8">
        <w:t xml:space="preserve">Slika </w:t>
      </w:r>
      <w:r w:rsidRPr="00BD24D8">
        <w:fldChar w:fldCharType="begin"/>
      </w:r>
      <w:r w:rsidRPr="00BD24D8">
        <w:instrText xml:space="preserve"> SEQ Slika \* ARABIC </w:instrText>
      </w:r>
      <w:r w:rsidRPr="00BD24D8">
        <w:fldChar w:fldCharType="separate"/>
      </w:r>
      <w:r w:rsidR="00B3724D">
        <w:t>18</w:t>
      </w:r>
      <w:r w:rsidRPr="00BD24D8">
        <w:fldChar w:fldCharType="end"/>
      </w:r>
      <w:r w:rsidRPr="00BD24D8">
        <w:t xml:space="preserve">: </w:t>
      </w:r>
      <w:r w:rsidR="007C5C5A">
        <w:t xml:space="preserve">Po scenariju </w:t>
      </w:r>
      <w:r w:rsidR="00187494">
        <w:t xml:space="preserve">nižje </w:t>
      </w:r>
      <w:r w:rsidR="007C5C5A">
        <w:t xml:space="preserve">rodnosti </w:t>
      </w:r>
      <w:r w:rsidR="00187494">
        <w:t xml:space="preserve">bi se </w:t>
      </w:r>
      <w:r w:rsidR="00F2742D">
        <w:t>v povprečju</w:t>
      </w:r>
      <w:r w:rsidR="00D87731" w:rsidRPr="00474A64">
        <w:t xml:space="preserve"> </w:t>
      </w:r>
      <w:r w:rsidR="00FC49AB">
        <w:t>na le</w:t>
      </w:r>
      <w:r w:rsidR="00FC49AB" w:rsidRPr="00E4787C">
        <w:t xml:space="preserve">to </w:t>
      </w:r>
      <w:r w:rsidR="00187494" w:rsidRPr="00E4787C">
        <w:t>rodilo</w:t>
      </w:r>
      <w:r w:rsidR="009837F9" w:rsidRPr="00E4787C">
        <w:t xml:space="preserve"> </w:t>
      </w:r>
      <w:r w:rsidR="00E4787C" w:rsidRPr="00E4787C">
        <w:t>12</w:t>
      </w:r>
      <w:r w:rsidR="00E4787C">
        <w:t xml:space="preserve">.275 otrok, kar je </w:t>
      </w:r>
      <w:r w:rsidR="00FC49AB">
        <w:t xml:space="preserve">4831 </w:t>
      </w:r>
      <w:r w:rsidR="00E4787C">
        <w:t>oz.</w:t>
      </w:r>
      <w:r w:rsidR="007D4259">
        <w:t xml:space="preserve"> </w:t>
      </w:r>
      <w:r w:rsidR="00D87731" w:rsidRPr="00474A64">
        <w:t xml:space="preserve">28 % manj </w:t>
      </w:r>
      <w:r w:rsidR="00E4787C">
        <w:t>kot v osnovnem scenariju</w:t>
      </w:r>
      <w:bookmarkEnd w:id="57"/>
    </w:p>
    <w:p w14:paraId="57FCE77C" w14:textId="51F6550E" w:rsidR="00F52D9F" w:rsidRDefault="00485F9F" w:rsidP="000A74B7">
      <w:pPr>
        <w:pStyle w:val="BesediloUMAR"/>
      </w:pPr>
      <w:r w:rsidRPr="00485F9F">
        <w:rPr>
          <w:noProof/>
        </w:rPr>
        <w:drawing>
          <wp:inline distT="0" distB="0" distL="0" distR="0" wp14:anchorId="62A72C73" wp14:editId="36F671AA">
            <wp:extent cx="5759450" cy="2279875"/>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59450" cy="2279875"/>
                    </a:xfrm>
                    <a:prstGeom prst="rect">
                      <a:avLst/>
                    </a:prstGeom>
                    <a:noFill/>
                    <a:ln>
                      <a:noFill/>
                    </a:ln>
                  </pic:spPr>
                </pic:pic>
              </a:graphicData>
            </a:graphic>
          </wp:inline>
        </w:drawing>
      </w:r>
    </w:p>
    <w:p w14:paraId="49EB43AB" w14:textId="47BBAD89" w:rsidR="000D0EB2" w:rsidRPr="00EA2A47" w:rsidRDefault="000D0EB2" w:rsidP="00341353">
      <w:pPr>
        <w:pStyle w:val="VirUMAR"/>
      </w:pPr>
      <w:r w:rsidRPr="00EA2A47">
        <w:t xml:space="preserve">Vir: </w:t>
      </w:r>
      <w:r w:rsidRPr="00EA2A47">
        <w:fldChar w:fldCharType="begin"/>
      </w:r>
      <w:r w:rsidR="00CB4EF9">
        <w:instrText xml:space="preserve"> ADDIN ZOTERO_ITEM CSL_CITATION {"citationID":"Eibl3vm2","properties":{"custom":"Eurostat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1C496A4C" w14:textId="77777777" w:rsidR="002325A9" w:rsidRDefault="002325A9" w:rsidP="000A74B7">
      <w:pPr>
        <w:pStyle w:val="BesediloUMAR"/>
      </w:pPr>
    </w:p>
    <w:p w14:paraId="477FAED0" w14:textId="77777777" w:rsidR="00F52D9F" w:rsidRDefault="00F52D9F" w:rsidP="000A74B7">
      <w:pPr>
        <w:pStyle w:val="BesediloUMAR"/>
      </w:pPr>
    </w:p>
    <w:p w14:paraId="57BCF376" w14:textId="77777777" w:rsidR="00DD69A8" w:rsidRDefault="00DD69A8" w:rsidP="000A74B7">
      <w:pPr>
        <w:pStyle w:val="BesediloUMAR"/>
        <w:rPr>
          <w:b/>
          <w:bCs/>
          <w:noProof/>
          <w:szCs w:val="20"/>
        </w:rPr>
      </w:pPr>
    </w:p>
    <w:p w14:paraId="2F2B0DAA" w14:textId="77777777" w:rsidR="00DD69A8" w:rsidRDefault="00DD69A8" w:rsidP="000A74B7">
      <w:pPr>
        <w:pStyle w:val="BesediloUMAR"/>
        <w:rPr>
          <w:b/>
          <w:bCs/>
          <w:noProof/>
          <w:szCs w:val="20"/>
        </w:rPr>
      </w:pPr>
    </w:p>
    <w:p w14:paraId="2D40D5D3" w14:textId="77777777" w:rsidR="00DD69A8" w:rsidRDefault="00DD69A8" w:rsidP="000A74B7">
      <w:pPr>
        <w:pStyle w:val="BesediloUMAR"/>
        <w:rPr>
          <w:b/>
          <w:bCs/>
          <w:noProof/>
          <w:szCs w:val="20"/>
        </w:rPr>
      </w:pPr>
    </w:p>
    <w:p w14:paraId="613D2B1A" w14:textId="77777777" w:rsidR="00DD69A8" w:rsidRDefault="00DD69A8" w:rsidP="000A74B7">
      <w:pPr>
        <w:pStyle w:val="BesediloUMAR"/>
        <w:rPr>
          <w:b/>
          <w:bCs/>
          <w:noProof/>
          <w:szCs w:val="20"/>
        </w:rPr>
      </w:pPr>
    </w:p>
    <w:p w14:paraId="07C4F4B9" w14:textId="77777777" w:rsidR="00DD69A8" w:rsidRDefault="00DD69A8" w:rsidP="000A74B7">
      <w:pPr>
        <w:pStyle w:val="BesediloUMAR"/>
        <w:rPr>
          <w:b/>
          <w:bCs/>
          <w:noProof/>
          <w:szCs w:val="20"/>
        </w:rPr>
      </w:pPr>
    </w:p>
    <w:p w14:paraId="07FEE2B9" w14:textId="77777777" w:rsidR="00DD69A8" w:rsidRDefault="00DD69A8" w:rsidP="000A74B7">
      <w:pPr>
        <w:pStyle w:val="BesediloUMAR"/>
        <w:rPr>
          <w:b/>
          <w:bCs/>
          <w:noProof/>
          <w:szCs w:val="20"/>
        </w:rPr>
      </w:pPr>
    </w:p>
    <w:p w14:paraId="0D826A89" w14:textId="77777777" w:rsidR="00DD69A8" w:rsidRDefault="00DD69A8" w:rsidP="000A74B7">
      <w:pPr>
        <w:pStyle w:val="BesediloUMAR"/>
        <w:rPr>
          <w:b/>
          <w:bCs/>
          <w:noProof/>
          <w:szCs w:val="20"/>
        </w:rPr>
      </w:pPr>
    </w:p>
    <w:p w14:paraId="5E6C8D3D" w14:textId="77777777" w:rsidR="00DD69A8" w:rsidRDefault="00DD69A8" w:rsidP="000A74B7">
      <w:pPr>
        <w:pStyle w:val="BesediloUMAR"/>
        <w:rPr>
          <w:b/>
          <w:bCs/>
          <w:noProof/>
          <w:szCs w:val="20"/>
        </w:rPr>
      </w:pPr>
    </w:p>
    <w:p w14:paraId="32481332" w14:textId="77777777" w:rsidR="00DD69A8" w:rsidRDefault="00DD69A8" w:rsidP="000A74B7">
      <w:pPr>
        <w:pStyle w:val="BesediloUMAR"/>
        <w:rPr>
          <w:b/>
          <w:bCs/>
          <w:noProof/>
          <w:szCs w:val="20"/>
        </w:rPr>
      </w:pPr>
    </w:p>
    <w:p w14:paraId="531F068B" w14:textId="77777777" w:rsidR="00DD69A8" w:rsidRDefault="00DD69A8" w:rsidP="000A74B7">
      <w:pPr>
        <w:pStyle w:val="BesediloUMAR"/>
        <w:rPr>
          <w:b/>
          <w:bCs/>
          <w:noProof/>
          <w:szCs w:val="20"/>
        </w:rPr>
      </w:pPr>
    </w:p>
    <w:p w14:paraId="1E1B5C93" w14:textId="77777777" w:rsidR="00DD69A8" w:rsidRDefault="00DD69A8" w:rsidP="000A74B7">
      <w:pPr>
        <w:pStyle w:val="BesediloUMAR"/>
        <w:rPr>
          <w:b/>
          <w:bCs/>
          <w:noProof/>
          <w:szCs w:val="20"/>
        </w:rPr>
      </w:pPr>
    </w:p>
    <w:p w14:paraId="1D6CC242" w14:textId="77777777" w:rsidR="00DD69A8" w:rsidRDefault="00DD69A8" w:rsidP="000A74B7">
      <w:pPr>
        <w:pStyle w:val="BesediloUMAR"/>
        <w:rPr>
          <w:b/>
          <w:bCs/>
          <w:noProof/>
          <w:szCs w:val="20"/>
        </w:rPr>
      </w:pPr>
    </w:p>
    <w:p w14:paraId="08624D2A" w14:textId="13AA951D" w:rsidR="006346F2" w:rsidRDefault="006346F2" w:rsidP="00B84C29">
      <w:pPr>
        <w:pStyle w:val="Caption"/>
      </w:pPr>
      <w:bookmarkStart w:id="58" w:name="_Toc146283038"/>
      <w:r w:rsidRPr="00BD24D8">
        <w:lastRenderedPageBreak/>
        <w:t xml:space="preserve">Slika </w:t>
      </w:r>
      <w:r w:rsidRPr="00BD24D8">
        <w:fldChar w:fldCharType="begin"/>
      </w:r>
      <w:r w:rsidRPr="00BD24D8">
        <w:instrText xml:space="preserve"> SEQ Slika \* ARABIC </w:instrText>
      </w:r>
      <w:r w:rsidRPr="00BD24D8">
        <w:fldChar w:fldCharType="separate"/>
      </w:r>
      <w:r w:rsidR="00B3724D">
        <w:t>19</w:t>
      </w:r>
      <w:r w:rsidRPr="00BD24D8">
        <w:fldChar w:fldCharType="end"/>
      </w:r>
      <w:r w:rsidRPr="00BD24D8">
        <w:t xml:space="preserve">: </w:t>
      </w:r>
      <w:r w:rsidR="004C17AF">
        <w:t>Po scenariju nižje umrljivosti bi deček</w:t>
      </w:r>
      <w:r w:rsidR="00365AD1">
        <w:t>,</w:t>
      </w:r>
      <w:r w:rsidR="004C17AF">
        <w:t xml:space="preserve"> rojen leta 2100</w:t>
      </w:r>
      <w:r w:rsidR="00365AD1">
        <w:t>,</w:t>
      </w:r>
      <w:r w:rsidR="004C17AF">
        <w:t xml:space="preserve"> lahko pričakoval 91,2 let</w:t>
      </w:r>
      <w:r w:rsidR="0060170D">
        <w:t>i</w:t>
      </w:r>
      <w:r w:rsidR="004C17AF">
        <w:t xml:space="preserve"> življenja, deklica pa 95,1</w:t>
      </w:r>
      <w:r w:rsidR="0060170D">
        <w:t xml:space="preserve"> let</w:t>
      </w:r>
      <w:r w:rsidR="00365AD1">
        <w:t>a</w:t>
      </w:r>
      <w:r w:rsidR="0038074A">
        <w:t>, kar je 1,8 let</w:t>
      </w:r>
      <w:r w:rsidR="0005741A">
        <w:t>a</w:t>
      </w:r>
      <w:r w:rsidR="0038074A">
        <w:t xml:space="preserve"> več kot v osnovnem scenariju</w:t>
      </w:r>
      <w:bookmarkEnd w:id="58"/>
    </w:p>
    <w:p w14:paraId="3E36F171" w14:textId="18303DA6" w:rsidR="000A74B7" w:rsidRDefault="00341353" w:rsidP="000A74B7">
      <w:pPr>
        <w:pStyle w:val="BesediloUMAR"/>
      </w:pPr>
      <w:r w:rsidRPr="00341353">
        <w:rPr>
          <w:noProof/>
        </w:rPr>
        <w:drawing>
          <wp:inline distT="0" distB="0" distL="0" distR="0" wp14:anchorId="52899A13" wp14:editId="02AB37BB">
            <wp:extent cx="5759450" cy="2093926"/>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9450" cy="2093926"/>
                    </a:xfrm>
                    <a:prstGeom prst="rect">
                      <a:avLst/>
                    </a:prstGeom>
                    <a:noFill/>
                    <a:ln>
                      <a:noFill/>
                    </a:ln>
                  </pic:spPr>
                </pic:pic>
              </a:graphicData>
            </a:graphic>
          </wp:inline>
        </w:drawing>
      </w:r>
    </w:p>
    <w:p w14:paraId="7F84DC8F" w14:textId="37C69297" w:rsidR="000D0EB2" w:rsidRDefault="000D0EB2" w:rsidP="00341353">
      <w:pPr>
        <w:pStyle w:val="VirUMAR"/>
      </w:pPr>
      <w:r w:rsidRPr="00EA2A47">
        <w:t xml:space="preserve">Vir: </w:t>
      </w:r>
      <w:r w:rsidRPr="00EA2A47">
        <w:fldChar w:fldCharType="begin"/>
      </w:r>
      <w:r w:rsidR="00CB4EF9">
        <w:instrText xml:space="preserve"> ADDIN ZOTERO_ITEM CSL_CITATION {"citationID":"7jCmG7Hx","properties":{"custom":"Eurostat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57F27DCD" w14:textId="77777777" w:rsidR="00341353" w:rsidRPr="00EA2A47" w:rsidRDefault="00341353" w:rsidP="00341353">
      <w:pPr>
        <w:pStyle w:val="VirUMAR"/>
      </w:pPr>
    </w:p>
    <w:p w14:paraId="4B4EF917" w14:textId="1EC0AE79" w:rsidR="00341353" w:rsidRDefault="0021225B" w:rsidP="00B84C29">
      <w:pPr>
        <w:pStyle w:val="Caption"/>
      </w:pPr>
      <w:bookmarkStart w:id="59" w:name="_Toc146283039"/>
      <w:r w:rsidRPr="00BD24D8">
        <w:t xml:space="preserve">Slika </w:t>
      </w:r>
      <w:r w:rsidRPr="00BD24D8">
        <w:fldChar w:fldCharType="begin"/>
      </w:r>
      <w:r w:rsidRPr="00BD24D8">
        <w:instrText xml:space="preserve"> SEQ Slika \* ARABIC </w:instrText>
      </w:r>
      <w:r w:rsidRPr="00BD24D8">
        <w:fldChar w:fldCharType="separate"/>
      </w:r>
      <w:r w:rsidR="00B3724D">
        <w:t>20</w:t>
      </w:r>
      <w:r w:rsidRPr="00BD24D8">
        <w:fldChar w:fldCharType="end"/>
      </w:r>
      <w:r w:rsidRPr="00BD24D8">
        <w:t xml:space="preserve">: </w:t>
      </w:r>
      <w:r w:rsidR="005A1C60">
        <w:t xml:space="preserve">Za neto selitveni prirast </w:t>
      </w:r>
      <w:r w:rsidR="00D25B28">
        <w:t xml:space="preserve">je </w:t>
      </w:r>
      <w:r w:rsidR="00030EC2">
        <w:t xml:space="preserve">EUROPOP2023 </w:t>
      </w:r>
      <w:r w:rsidR="00D25B28">
        <w:t xml:space="preserve">predvidel </w:t>
      </w:r>
      <w:r w:rsidR="005A1C60">
        <w:t xml:space="preserve">štiri </w:t>
      </w:r>
      <w:r w:rsidR="00D25B28">
        <w:t>različne variante</w:t>
      </w:r>
      <w:r w:rsidR="005A1C60">
        <w:t xml:space="preserve">: ničelni prirast ter </w:t>
      </w:r>
      <w:r w:rsidR="005A1C60" w:rsidRPr="00A65D5D">
        <w:t>prirast</w:t>
      </w:r>
      <w:r w:rsidR="00D95D56" w:rsidRPr="00A65D5D">
        <w:t>e</w:t>
      </w:r>
      <w:r w:rsidR="005A1C60" w:rsidRPr="00A65D5D">
        <w:t>, ki znaša</w:t>
      </w:r>
      <w:r w:rsidR="00D95D56" w:rsidRPr="00A65D5D">
        <w:t>jo</w:t>
      </w:r>
      <w:r w:rsidR="005A1C60" w:rsidRPr="00A65D5D">
        <w:t xml:space="preserve"> v povprečju </w:t>
      </w:r>
      <w:r w:rsidR="00D95D56" w:rsidRPr="00A65D5D">
        <w:t>na leto 9702,</w:t>
      </w:r>
      <w:r w:rsidR="00AC73D9" w:rsidRPr="00A65D5D">
        <w:t xml:space="preserve"> </w:t>
      </w:r>
      <w:r w:rsidR="00D95D56" w:rsidRPr="00A65D5D">
        <w:t>6108</w:t>
      </w:r>
      <w:r w:rsidR="00AC73D9" w:rsidRPr="00A65D5D">
        <w:t xml:space="preserve"> </w:t>
      </w:r>
      <w:r w:rsidR="001037EE">
        <w:t>oz.</w:t>
      </w:r>
      <w:r w:rsidR="00D95D56" w:rsidRPr="00A65D5D">
        <w:t xml:space="preserve"> 2583 oseb</w:t>
      </w:r>
      <w:bookmarkEnd w:id="59"/>
      <w:r w:rsidR="00341353">
        <w:t xml:space="preserve">  </w:t>
      </w:r>
    </w:p>
    <w:p w14:paraId="71334D95" w14:textId="6B2ACF77" w:rsidR="00871B28" w:rsidRPr="00871B28" w:rsidRDefault="00871B28" w:rsidP="00871B28">
      <w:pPr>
        <w:pStyle w:val="BesediloUMAR"/>
      </w:pPr>
      <w:r w:rsidRPr="00871B28">
        <w:rPr>
          <w:noProof/>
        </w:rPr>
        <w:drawing>
          <wp:inline distT="0" distB="0" distL="0" distR="0" wp14:anchorId="3797FB55" wp14:editId="54D60F3C">
            <wp:extent cx="5759450" cy="2068830"/>
            <wp:effectExtent l="0" t="0" r="0"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9450" cy="2068830"/>
                    </a:xfrm>
                    <a:prstGeom prst="rect">
                      <a:avLst/>
                    </a:prstGeom>
                    <a:noFill/>
                    <a:ln>
                      <a:noFill/>
                    </a:ln>
                  </pic:spPr>
                </pic:pic>
              </a:graphicData>
            </a:graphic>
          </wp:inline>
        </w:drawing>
      </w:r>
    </w:p>
    <w:p w14:paraId="214955D6" w14:textId="10C87448" w:rsidR="000D0EB2" w:rsidRPr="00EA2A47" w:rsidRDefault="000D0EB2" w:rsidP="00341353">
      <w:pPr>
        <w:pStyle w:val="VirUMAR"/>
      </w:pPr>
      <w:r w:rsidRPr="00EA2A47">
        <w:t xml:space="preserve">Vir: </w:t>
      </w:r>
      <w:r w:rsidRPr="00EA2A47">
        <w:fldChar w:fldCharType="begin"/>
      </w:r>
      <w:r w:rsidR="00CB4EF9">
        <w:instrText xml:space="preserve"> ADDIN ZOTERO_ITEM CSL_CITATION {"citationID":"KyyAYTKH","properties":{"custom":"Eurostat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1ECC6D15" w14:textId="3BE0CD4C" w:rsidR="00CE3772" w:rsidRDefault="00CE3772" w:rsidP="00341353">
      <w:pPr>
        <w:pStyle w:val="VirUMAR"/>
        <w:rPr>
          <w:rStyle w:val="VodilnistavekUMAR"/>
          <w:b w:val="0"/>
        </w:rPr>
      </w:pPr>
      <w:r>
        <w:rPr>
          <w:rStyle w:val="VodilnistavekUMAR"/>
          <w:b w:val="0"/>
        </w:rPr>
        <w:t>Opomba: Prekinjene črte prikazujejo povprečje o</w:t>
      </w:r>
      <w:r w:rsidR="00866A34">
        <w:rPr>
          <w:rStyle w:val="VodilnistavekUMAR"/>
          <w:b w:val="0"/>
        </w:rPr>
        <w:t>bdobja 2023–2100.</w:t>
      </w:r>
    </w:p>
    <w:p w14:paraId="3A30C031" w14:textId="77777777" w:rsidR="00866A34" w:rsidRPr="00CE3772" w:rsidRDefault="00866A34" w:rsidP="00341353">
      <w:pPr>
        <w:pStyle w:val="VirUMAR"/>
        <w:rPr>
          <w:rStyle w:val="VodilnistavekUMAR"/>
          <w:b w:val="0"/>
        </w:rPr>
      </w:pPr>
    </w:p>
    <w:p w14:paraId="6A42DFCC" w14:textId="548B16B8" w:rsidR="005A3994" w:rsidRDefault="005A3994" w:rsidP="005A3994">
      <w:pPr>
        <w:pStyle w:val="BesediloUMAR"/>
        <w:rPr>
          <w:b/>
          <w:bCs/>
          <w:noProof/>
          <w:szCs w:val="20"/>
        </w:rPr>
      </w:pPr>
    </w:p>
    <w:p w14:paraId="76F36835" w14:textId="72F1B183" w:rsidR="00BB6592" w:rsidRDefault="00BB6592" w:rsidP="005A3994">
      <w:pPr>
        <w:pStyle w:val="BesediloUMAR"/>
        <w:rPr>
          <w:b/>
          <w:bCs/>
          <w:noProof/>
          <w:szCs w:val="20"/>
        </w:rPr>
      </w:pPr>
    </w:p>
    <w:p w14:paraId="3D33DCF6" w14:textId="09B09247" w:rsidR="00BB6592" w:rsidRDefault="00BB6592" w:rsidP="005A3994">
      <w:pPr>
        <w:pStyle w:val="BesediloUMAR"/>
        <w:rPr>
          <w:b/>
          <w:bCs/>
          <w:noProof/>
          <w:szCs w:val="20"/>
        </w:rPr>
      </w:pPr>
    </w:p>
    <w:p w14:paraId="55E85727" w14:textId="4D645732" w:rsidR="00BB6592" w:rsidRDefault="00BB6592" w:rsidP="005A3994">
      <w:pPr>
        <w:pStyle w:val="BesediloUMAR"/>
        <w:rPr>
          <w:b/>
          <w:bCs/>
          <w:noProof/>
          <w:szCs w:val="20"/>
        </w:rPr>
      </w:pPr>
    </w:p>
    <w:p w14:paraId="1D7205D0" w14:textId="3A55BE93" w:rsidR="00BB6592" w:rsidRDefault="00BB6592" w:rsidP="005A3994">
      <w:pPr>
        <w:pStyle w:val="BesediloUMAR"/>
        <w:rPr>
          <w:b/>
          <w:bCs/>
          <w:noProof/>
          <w:szCs w:val="20"/>
        </w:rPr>
      </w:pPr>
    </w:p>
    <w:p w14:paraId="067CE838" w14:textId="77777777" w:rsidR="00BB6592" w:rsidRDefault="00BB6592" w:rsidP="005A3994">
      <w:pPr>
        <w:pStyle w:val="BesediloUMAR"/>
        <w:rPr>
          <w:b/>
          <w:bCs/>
          <w:noProof/>
          <w:szCs w:val="20"/>
        </w:rPr>
      </w:pPr>
    </w:p>
    <w:p w14:paraId="520B4804" w14:textId="1E255765" w:rsidR="00593CDF" w:rsidRDefault="00593CDF" w:rsidP="005A3994">
      <w:pPr>
        <w:pStyle w:val="BesediloUMAR"/>
        <w:rPr>
          <w:b/>
          <w:bCs/>
          <w:noProof/>
          <w:szCs w:val="20"/>
        </w:rPr>
      </w:pPr>
    </w:p>
    <w:p w14:paraId="19967E22" w14:textId="638A3C84" w:rsidR="00593CDF" w:rsidRDefault="00593CDF" w:rsidP="005A3994">
      <w:pPr>
        <w:pStyle w:val="BesediloUMAR"/>
        <w:rPr>
          <w:b/>
          <w:bCs/>
          <w:noProof/>
          <w:szCs w:val="20"/>
        </w:rPr>
      </w:pPr>
    </w:p>
    <w:p w14:paraId="49408AA4" w14:textId="124B96A2" w:rsidR="00593CDF" w:rsidRDefault="00593CDF" w:rsidP="005A3994">
      <w:pPr>
        <w:pStyle w:val="BesediloUMAR"/>
        <w:rPr>
          <w:b/>
          <w:bCs/>
          <w:noProof/>
          <w:szCs w:val="20"/>
        </w:rPr>
      </w:pPr>
    </w:p>
    <w:p w14:paraId="78DE837D" w14:textId="0930C354" w:rsidR="00593CDF" w:rsidRDefault="00593CDF" w:rsidP="005A3994">
      <w:pPr>
        <w:pStyle w:val="BesediloUMAR"/>
        <w:rPr>
          <w:b/>
          <w:bCs/>
          <w:noProof/>
          <w:szCs w:val="20"/>
        </w:rPr>
      </w:pPr>
    </w:p>
    <w:p w14:paraId="2EC21B26" w14:textId="7B3588EC" w:rsidR="00593CDF" w:rsidRDefault="00593CDF" w:rsidP="005A3994">
      <w:pPr>
        <w:pStyle w:val="BesediloUMAR"/>
        <w:rPr>
          <w:b/>
          <w:bCs/>
          <w:noProof/>
          <w:szCs w:val="20"/>
        </w:rPr>
      </w:pPr>
    </w:p>
    <w:p w14:paraId="51D5D148" w14:textId="0D602ABA" w:rsidR="00593CDF" w:rsidRDefault="00593CDF" w:rsidP="005A3994">
      <w:pPr>
        <w:pStyle w:val="BesediloUMAR"/>
        <w:rPr>
          <w:b/>
          <w:bCs/>
          <w:noProof/>
          <w:szCs w:val="20"/>
        </w:rPr>
      </w:pPr>
    </w:p>
    <w:p w14:paraId="2E68CC60" w14:textId="74A35141" w:rsidR="00593CDF" w:rsidRDefault="00593CDF" w:rsidP="005A3994">
      <w:pPr>
        <w:pStyle w:val="BesediloUMAR"/>
        <w:rPr>
          <w:b/>
          <w:bCs/>
          <w:noProof/>
          <w:szCs w:val="20"/>
        </w:rPr>
      </w:pPr>
    </w:p>
    <w:p w14:paraId="387123FF" w14:textId="77777777" w:rsidR="00341353" w:rsidRDefault="00341353" w:rsidP="005A3994">
      <w:pPr>
        <w:pStyle w:val="BesediloUMAR"/>
        <w:rPr>
          <w:b/>
          <w:bCs/>
          <w:noProof/>
          <w:szCs w:val="20"/>
        </w:rPr>
      </w:pPr>
    </w:p>
    <w:p w14:paraId="25464E7F" w14:textId="13B482F1" w:rsidR="005A3994" w:rsidRDefault="005A3994" w:rsidP="00B84C29">
      <w:pPr>
        <w:pStyle w:val="Caption"/>
      </w:pPr>
      <w:bookmarkStart w:id="60" w:name="_Toc146283040"/>
      <w:r w:rsidRPr="00BD24D8">
        <w:lastRenderedPageBreak/>
        <w:t xml:space="preserve">Slika </w:t>
      </w:r>
      <w:r w:rsidRPr="00BD24D8">
        <w:fldChar w:fldCharType="begin"/>
      </w:r>
      <w:r w:rsidRPr="00BD24D8">
        <w:instrText xml:space="preserve"> SEQ Slika \* ARABIC </w:instrText>
      </w:r>
      <w:r w:rsidRPr="00BD24D8">
        <w:fldChar w:fldCharType="separate"/>
      </w:r>
      <w:r w:rsidR="00B3724D">
        <w:t>21</w:t>
      </w:r>
      <w:r w:rsidRPr="00BD24D8">
        <w:fldChar w:fldCharType="end"/>
      </w:r>
      <w:r w:rsidRPr="00BD24D8">
        <w:t xml:space="preserve">: </w:t>
      </w:r>
      <w:r>
        <w:t xml:space="preserve">Število rojenih in umrlih je višje kot v osnovnem scenariju v primeru višjega selitvenega prirasta; število umrlih </w:t>
      </w:r>
      <w:r w:rsidR="00C30BC9">
        <w:t xml:space="preserve">pa </w:t>
      </w:r>
      <w:r>
        <w:t xml:space="preserve">bo </w:t>
      </w:r>
      <w:r w:rsidR="00C30BC9">
        <w:t>sicer v prihodnje precej višje</w:t>
      </w:r>
      <w:r>
        <w:t xml:space="preserve"> </w:t>
      </w:r>
      <w:r w:rsidR="00C30BC9">
        <w:t>kot danes</w:t>
      </w:r>
      <w:r>
        <w:t xml:space="preserve"> (slika desno)</w:t>
      </w:r>
      <w:bookmarkEnd w:id="60"/>
    </w:p>
    <w:p w14:paraId="153E2E17" w14:textId="56400451" w:rsidR="005A3994" w:rsidRDefault="00341353" w:rsidP="005A3994">
      <w:pPr>
        <w:pStyle w:val="BesediloUMAR"/>
      </w:pPr>
      <w:r w:rsidRPr="00341353">
        <w:rPr>
          <w:noProof/>
        </w:rPr>
        <w:drawing>
          <wp:inline distT="0" distB="0" distL="0" distR="0" wp14:anchorId="7E2709C5" wp14:editId="570B077C">
            <wp:extent cx="2775600" cy="2271600"/>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75600" cy="2271600"/>
                    </a:xfrm>
                    <a:prstGeom prst="rect">
                      <a:avLst/>
                    </a:prstGeom>
                    <a:noFill/>
                    <a:ln>
                      <a:noFill/>
                    </a:ln>
                  </pic:spPr>
                </pic:pic>
              </a:graphicData>
            </a:graphic>
          </wp:inline>
        </w:drawing>
      </w:r>
      <w:r>
        <w:t xml:space="preserve">  </w:t>
      </w:r>
      <w:r w:rsidR="005F2E5D">
        <w:t xml:space="preserve"> </w:t>
      </w:r>
      <w:r>
        <w:t xml:space="preserve">  </w:t>
      </w:r>
      <w:r w:rsidRPr="00341353">
        <w:rPr>
          <w:noProof/>
        </w:rPr>
        <w:drawing>
          <wp:inline distT="0" distB="0" distL="0" distR="0" wp14:anchorId="2FD47CD5" wp14:editId="1A3C77DA">
            <wp:extent cx="2772000" cy="2271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72000" cy="2271600"/>
                    </a:xfrm>
                    <a:prstGeom prst="rect">
                      <a:avLst/>
                    </a:prstGeom>
                    <a:noFill/>
                    <a:ln>
                      <a:noFill/>
                    </a:ln>
                  </pic:spPr>
                </pic:pic>
              </a:graphicData>
            </a:graphic>
          </wp:inline>
        </w:drawing>
      </w:r>
    </w:p>
    <w:p w14:paraId="0D7AD491" w14:textId="1CCEB34D" w:rsidR="005A3994" w:rsidRDefault="005A3994" w:rsidP="00341353">
      <w:pPr>
        <w:pStyle w:val="VirUMAR"/>
      </w:pPr>
      <w:r w:rsidRPr="00EA2A47">
        <w:t xml:space="preserve">Vir: </w:t>
      </w:r>
      <w:r w:rsidRPr="00EA2A47">
        <w:fldChar w:fldCharType="begin"/>
      </w:r>
      <w:r w:rsidR="00CB4EF9">
        <w:instrText xml:space="preserve"> ADDIN ZOTERO_ITEM CSL_CITATION {"citationID":"HzsTG0YP","properties":{"custom":"Eurostat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40C140ED" w14:textId="77777777" w:rsidR="00341353" w:rsidRPr="00EA2A47" w:rsidRDefault="00341353" w:rsidP="00341353">
      <w:pPr>
        <w:pStyle w:val="VirUMAR"/>
      </w:pPr>
    </w:p>
    <w:p w14:paraId="2D0C5C29" w14:textId="77777777" w:rsidR="00902B7B" w:rsidRDefault="00902B7B" w:rsidP="000A74B7">
      <w:pPr>
        <w:pStyle w:val="BesediloUMAR"/>
        <w:rPr>
          <w:rStyle w:val="VodilnistavekUMAR"/>
        </w:rPr>
      </w:pPr>
    </w:p>
    <w:p w14:paraId="306769E9" w14:textId="6C29C978" w:rsidR="00125006" w:rsidRDefault="000A74B7" w:rsidP="000A74B7">
      <w:pPr>
        <w:pStyle w:val="BesediloUMAR"/>
      </w:pPr>
      <w:r w:rsidRPr="000A74B7">
        <w:rPr>
          <w:rStyle w:val="VodilnistavekUMAR"/>
        </w:rPr>
        <w:t>Največji učinek na povečanje števila prebivalcev v primerjavi z osnovnim scenarijem ima</w:t>
      </w:r>
      <w:r w:rsidR="0088686A">
        <w:rPr>
          <w:rStyle w:val="VodilnistavekUMAR"/>
        </w:rPr>
        <w:t>ta</w:t>
      </w:r>
      <w:r w:rsidRPr="000A74B7">
        <w:rPr>
          <w:rStyle w:val="VodilnistavekUMAR"/>
        </w:rPr>
        <w:t xml:space="preserve"> scenarij</w:t>
      </w:r>
      <w:r w:rsidR="0088686A">
        <w:rPr>
          <w:rStyle w:val="VodilnistavekUMAR"/>
        </w:rPr>
        <w:t>a</w:t>
      </w:r>
      <w:r w:rsidRPr="000A74B7">
        <w:rPr>
          <w:rStyle w:val="VodilnistavekUMAR"/>
        </w:rPr>
        <w:t xml:space="preserve"> povečanj</w:t>
      </w:r>
      <w:r w:rsidR="002B4E46">
        <w:rPr>
          <w:rStyle w:val="VodilnistavekUMAR"/>
        </w:rPr>
        <w:t>a</w:t>
      </w:r>
      <w:r w:rsidRPr="000A74B7">
        <w:rPr>
          <w:rStyle w:val="VodilnistavekUMAR"/>
        </w:rPr>
        <w:t xml:space="preserve"> selitvenega prirasta in </w:t>
      </w:r>
      <w:r w:rsidR="00DB7DCB">
        <w:rPr>
          <w:rStyle w:val="VodilnistavekUMAR"/>
        </w:rPr>
        <w:t>zmanjšanja umrljivosti</w:t>
      </w:r>
      <w:r w:rsidRPr="000A74B7">
        <w:rPr>
          <w:rStyle w:val="VodilnistavekUMAR"/>
        </w:rPr>
        <w:t>.</w:t>
      </w:r>
      <w:r>
        <w:t xml:space="preserve"> Leta 2100 bi tako v Sloveniji ob višjem selitvenem prirastu živelo 331 tisoč več prebivalcev kot v osnovnem scenariju, ob nižji umrljivosti pa 32 tisoč</w:t>
      </w:r>
      <w:r w:rsidR="00DB7DCB">
        <w:t xml:space="preserve"> več</w:t>
      </w:r>
      <w:r>
        <w:t>. Ob scenariju nižje rodnosti ali nižjega selitvenega prirasta bi Slovenija leta 2100 imela okoli 300 tisoč prebivalcev manj</w:t>
      </w:r>
      <w:r w:rsidR="002C5CF3">
        <w:t xml:space="preserve"> (292</w:t>
      </w:r>
      <w:r w:rsidR="00CD43C6">
        <w:t xml:space="preserve"> oz. 329 tisoč</w:t>
      </w:r>
      <w:r w:rsidR="00805C67">
        <w:t xml:space="preserve"> manj</w:t>
      </w:r>
      <w:r w:rsidR="00CD43C6">
        <w:t>)</w:t>
      </w:r>
      <w:r>
        <w:t>, ob scenariju brez selitvenega prirasta pa več kot pol milijona</w:t>
      </w:r>
      <w:r w:rsidR="00805C67">
        <w:t xml:space="preserve"> </w:t>
      </w:r>
      <w:r w:rsidR="00741410">
        <w:br/>
      </w:r>
      <w:r w:rsidR="00805C67">
        <w:t>(579 tisoč)</w:t>
      </w:r>
      <w:r>
        <w:t xml:space="preserve"> manj. </w:t>
      </w:r>
      <w:r w:rsidR="00BF7CA5">
        <w:t xml:space="preserve">Več prebivalcev kot danes pa bi </w:t>
      </w:r>
      <w:r w:rsidR="00DB7DCB">
        <w:t xml:space="preserve">v </w:t>
      </w:r>
      <w:r w:rsidR="00BF7CA5">
        <w:t>Slovenij</w:t>
      </w:r>
      <w:r w:rsidR="00DB7DCB">
        <w:t>i živelo</w:t>
      </w:r>
      <w:r w:rsidR="00BF7CA5">
        <w:t xml:space="preserve"> le ob scenariju višjega selitvenega prirasta</w:t>
      </w:r>
      <w:r w:rsidR="007C7A8A">
        <w:t xml:space="preserve"> </w:t>
      </w:r>
      <w:r w:rsidR="007C7A8A" w:rsidRPr="00437C73">
        <w:t xml:space="preserve">(gl. </w:t>
      </w:r>
      <w:r w:rsidR="0036225B" w:rsidRPr="00437C73">
        <w:t>slike 22, 23</w:t>
      </w:r>
      <w:r w:rsidR="00E97B66">
        <w:t>,</w:t>
      </w:r>
      <w:r w:rsidR="0036225B" w:rsidRPr="00437C73">
        <w:t xml:space="preserve"> 24</w:t>
      </w:r>
      <w:r w:rsidR="007C7A8A" w:rsidRPr="00437C73">
        <w:t>)</w:t>
      </w:r>
      <w:r w:rsidR="00BF7CA5" w:rsidRPr="00437C73">
        <w:t>.</w:t>
      </w:r>
      <w:r w:rsidR="00BF7CA5" w:rsidRPr="0036225B">
        <w:t xml:space="preserve"> </w:t>
      </w:r>
      <w:r w:rsidRPr="0036225B">
        <w:t>Koeficient</w:t>
      </w:r>
      <w:r>
        <w:t xml:space="preserve"> starostne odvisnosti starejših se giblje </w:t>
      </w:r>
      <w:r w:rsidR="00805C67">
        <w:t>nekoliko</w:t>
      </w:r>
      <w:r>
        <w:t xml:space="preserve"> drugače, saj je njegova vrednost odvisna od skupnega gibanja generacij starejših in delovno sposobnih. Tako bi bil leta 2100 nižji (manj starejših na 100 delovno sposobnih) kot v osnovnem scenariju le v primeru višjega selitvenega prirasta, saj se priseljuje</w:t>
      </w:r>
      <w:r w:rsidR="001F320E">
        <w:t>jo</w:t>
      </w:r>
      <w:r>
        <w:t xml:space="preserve"> večinoma delovno aktivn</w:t>
      </w:r>
      <w:r w:rsidR="001F320E">
        <w:t>i</w:t>
      </w:r>
      <w:r>
        <w:t xml:space="preserve"> zaradi zaposlitve. Najvišji pa bi bil v primeru scenarija nižje rodnosti, saj bi se nižja stopnja rodnosti od leta 2023 naprej odrazila v manjših generacijah delovno sposobnih že čez 20 let, tem manjšim generacijam bi se posledično (tudi ob enaki stopnji rodnosti) rodilo skupno manj otrok in kumulativni učinek bi bil leta 2100 že precej viden. Če bi primerjali scenarije v letu 2060 (približno na polovici med začetnim in končnim letom projekcije), pa je najnižji koeficient staranja ob višjem selitvenem prirastu, najvišji pa brez selitvenega prirasta, saj večino selitvenega prirasta sestavljajo delovno sposobni prebivalci, kar tehnično povečuje imenovalec in, ob drugem nespremenjenem, manjša koeficient. Med tema skrajnima vrednostma pa si od najmanjšega do največjega glede na koeficient staranja sledijo: osnovni scenarij, nižja rodnost (ob neto selitvenem prirastu osnovnega scenarija nižja rodnost še do leta 2060 nima tolikšnega vpliva kot do leta 2100), nižja umrljivost (</w:t>
      </w:r>
      <w:r w:rsidR="00770F9A">
        <w:t>pričakovano trajanje življenja</w:t>
      </w:r>
      <w:r>
        <w:t xml:space="preserve"> se postopno povečuje do leta 2070), nižji selitveni prirast.</w:t>
      </w:r>
    </w:p>
    <w:p w14:paraId="0D0A58DF" w14:textId="72198406" w:rsidR="00307B64" w:rsidRDefault="00307B64" w:rsidP="000A74B7">
      <w:pPr>
        <w:pStyle w:val="BesediloUMAR"/>
      </w:pPr>
    </w:p>
    <w:p w14:paraId="57EAC8FF" w14:textId="1043CA5E" w:rsidR="00593CDF" w:rsidRDefault="00593CDF" w:rsidP="000A74B7">
      <w:pPr>
        <w:pStyle w:val="BesediloUMAR"/>
      </w:pPr>
    </w:p>
    <w:p w14:paraId="13B7294E" w14:textId="61785F96" w:rsidR="00593CDF" w:rsidRDefault="00593CDF" w:rsidP="000A74B7">
      <w:pPr>
        <w:pStyle w:val="BesediloUMAR"/>
      </w:pPr>
    </w:p>
    <w:p w14:paraId="61F7F7A0" w14:textId="64C8DFA7" w:rsidR="00593CDF" w:rsidRDefault="00593CDF" w:rsidP="000A74B7">
      <w:pPr>
        <w:pStyle w:val="BesediloUMAR"/>
      </w:pPr>
    </w:p>
    <w:p w14:paraId="0938F1A2" w14:textId="08BB166B" w:rsidR="00593CDF" w:rsidRDefault="00593CDF" w:rsidP="000A74B7">
      <w:pPr>
        <w:pStyle w:val="BesediloUMAR"/>
      </w:pPr>
    </w:p>
    <w:p w14:paraId="0C57C6CA" w14:textId="04506900" w:rsidR="00593CDF" w:rsidRDefault="00593CDF" w:rsidP="000A74B7">
      <w:pPr>
        <w:pStyle w:val="BesediloUMAR"/>
      </w:pPr>
    </w:p>
    <w:p w14:paraId="1BD8E79D" w14:textId="094E0F05" w:rsidR="00593CDF" w:rsidRDefault="00593CDF" w:rsidP="000A74B7">
      <w:pPr>
        <w:pStyle w:val="BesediloUMAR"/>
      </w:pPr>
    </w:p>
    <w:p w14:paraId="12A2F0B6" w14:textId="1586DF41" w:rsidR="00593CDF" w:rsidRDefault="00593CDF" w:rsidP="000A74B7">
      <w:pPr>
        <w:pStyle w:val="BesediloUMAR"/>
      </w:pPr>
    </w:p>
    <w:p w14:paraId="722F6F37" w14:textId="1063FABE" w:rsidR="00593CDF" w:rsidRDefault="00593CDF" w:rsidP="000A74B7">
      <w:pPr>
        <w:pStyle w:val="BesediloUMAR"/>
      </w:pPr>
    </w:p>
    <w:p w14:paraId="66971161" w14:textId="50932732" w:rsidR="00593CDF" w:rsidRDefault="00593CDF" w:rsidP="000A74B7">
      <w:pPr>
        <w:pStyle w:val="BesediloUMAR"/>
      </w:pPr>
    </w:p>
    <w:p w14:paraId="3853962F" w14:textId="004AC69B" w:rsidR="00593CDF" w:rsidRDefault="00593CDF" w:rsidP="000A74B7">
      <w:pPr>
        <w:pStyle w:val="BesediloUMAR"/>
      </w:pPr>
    </w:p>
    <w:p w14:paraId="77EB2275" w14:textId="1E5EC574" w:rsidR="00CD43C6" w:rsidRDefault="00CD43C6" w:rsidP="00B84C29">
      <w:pPr>
        <w:pStyle w:val="Caption"/>
      </w:pPr>
      <w:bookmarkStart w:id="61" w:name="_Toc146283041"/>
      <w:r w:rsidRPr="00BD24D8">
        <w:lastRenderedPageBreak/>
        <w:t xml:space="preserve">Slika </w:t>
      </w:r>
      <w:r w:rsidRPr="00BD24D8">
        <w:fldChar w:fldCharType="begin"/>
      </w:r>
      <w:r w:rsidRPr="00BD24D8">
        <w:instrText xml:space="preserve"> SEQ Slika \* ARABIC </w:instrText>
      </w:r>
      <w:r w:rsidRPr="00BD24D8">
        <w:fldChar w:fldCharType="separate"/>
      </w:r>
      <w:r w:rsidR="00B3724D">
        <w:t>22</w:t>
      </w:r>
      <w:r w:rsidRPr="00BD24D8">
        <w:fldChar w:fldCharType="end"/>
      </w:r>
      <w:r w:rsidRPr="00BD24D8">
        <w:t xml:space="preserve">: </w:t>
      </w:r>
      <w:r w:rsidR="000B532F" w:rsidRPr="000B532F">
        <w:t xml:space="preserve">Leta 2100 bi </w:t>
      </w:r>
      <w:r w:rsidR="001F24CE">
        <w:t xml:space="preserve">v Sloveniji le ob scenariju višjih migracij živelo </w:t>
      </w:r>
      <w:r w:rsidR="00030EC2">
        <w:t xml:space="preserve">nekoliko </w:t>
      </w:r>
      <w:r w:rsidR="001F24CE">
        <w:t xml:space="preserve">več prebivalcev kot danes, v primerjavi z osnovnim scenarijem pa bi </w:t>
      </w:r>
      <w:r w:rsidR="00D25B28">
        <w:t xml:space="preserve">bilo </w:t>
      </w:r>
      <w:r w:rsidR="00BF7CA5">
        <w:t>število prebivalcev</w:t>
      </w:r>
      <w:r w:rsidR="00030EC2">
        <w:t xml:space="preserve"> višje</w:t>
      </w:r>
      <w:r w:rsidR="00BF7CA5">
        <w:t xml:space="preserve"> še ob scenariju nižje umrljivosti</w:t>
      </w:r>
      <w:bookmarkEnd w:id="61"/>
    </w:p>
    <w:p w14:paraId="1295DD51" w14:textId="14BBC754" w:rsidR="00CD43C6" w:rsidRDefault="004165E0" w:rsidP="00CD43C6">
      <w:pPr>
        <w:pStyle w:val="BesediloUMAR"/>
      </w:pPr>
      <w:r w:rsidRPr="004165E0">
        <w:rPr>
          <w:noProof/>
        </w:rPr>
        <w:drawing>
          <wp:inline distT="0" distB="0" distL="0" distR="0" wp14:anchorId="01403D64" wp14:editId="66D72C5B">
            <wp:extent cx="5759450" cy="2095270"/>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59450" cy="2095270"/>
                    </a:xfrm>
                    <a:prstGeom prst="rect">
                      <a:avLst/>
                    </a:prstGeom>
                    <a:noFill/>
                    <a:ln>
                      <a:noFill/>
                    </a:ln>
                  </pic:spPr>
                </pic:pic>
              </a:graphicData>
            </a:graphic>
          </wp:inline>
        </w:drawing>
      </w:r>
    </w:p>
    <w:p w14:paraId="54B7184D" w14:textId="4AC88594" w:rsidR="000D0EB2" w:rsidRDefault="000D0EB2" w:rsidP="005F2E5D">
      <w:pPr>
        <w:pStyle w:val="VirUMAR"/>
      </w:pPr>
      <w:r w:rsidRPr="00EA2A47">
        <w:t xml:space="preserve">Vir: </w:t>
      </w:r>
      <w:r w:rsidRPr="00EA2A47">
        <w:fldChar w:fldCharType="begin"/>
      </w:r>
      <w:r w:rsidR="00CB4EF9">
        <w:instrText xml:space="preserve"> ADDIN ZOTERO_ITEM CSL_CITATION {"citationID":"XYEDzHVY","properties":{"custom":"Eurostat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09B95576" w14:textId="77777777" w:rsidR="005F2E5D" w:rsidRPr="00EA2A47" w:rsidRDefault="005F2E5D" w:rsidP="005F2E5D">
      <w:pPr>
        <w:pStyle w:val="VirUMAR"/>
      </w:pPr>
    </w:p>
    <w:p w14:paraId="5A20A669" w14:textId="63D404A5" w:rsidR="00A44AF6" w:rsidRPr="005F2E5D" w:rsidRDefault="00A44AF6" w:rsidP="00B84C29">
      <w:pPr>
        <w:pStyle w:val="Caption"/>
      </w:pPr>
      <w:bookmarkStart w:id="62" w:name="_Toc146283042"/>
      <w:r w:rsidRPr="005F2E5D">
        <w:t xml:space="preserve">Slika </w:t>
      </w:r>
      <w:r w:rsidRPr="005F2E5D">
        <w:fldChar w:fldCharType="begin"/>
      </w:r>
      <w:r w:rsidRPr="005F2E5D">
        <w:instrText xml:space="preserve"> SEQ Slika \* ARABIC </w:instrText>
      </w:r>
      <w:r w:rsidRPr="005F2E5D">
        <w:fldChar w:fldCharType="separate"/>
      </w:r>
      <w:r w:rsidR="00B3724D">
        <w:t>23</w:t>
      </w:r>
      <w:r w:rsidRPr="005F2E5D">
        <w:fldChar w:fldCharType="end"/>
      </w:r>
      <w:r w:rsidRPr="005F2E5D">
        <w:t>: Tudi ob v</w:t>
      </w:r>
      <w:r w:rsidR="00024A1E">
        <w:t>išjem</w:t>
      </w:r>
      <w:r w:rsidRPr="005F2E5D">
        <w:t xml:space="preserve"> neto selitvenem prirastu </w:t>
      </w:r>
      <w:r w:rsidR="00D25B28" w:rsidRPr="005F2E5D">
        <w:t>bi bilo</w:t>
      </w:r>
      <w:r w:rsidRPr="005F2E5D">
        <w:t xml:space="preserve"> po letu 2045 manj delovno sposobnih kot danes</w:t>
      </w:r>
      <w:bookmarkEnd w:id="62"/>
    </w:p>
    <w:p w14:paraId="319CEC87" w14:textId="77777777" w:rsidR="00A44AF6" w:rsidRDefault="00A44AF6" w:rsidP="00A44AF6">
      <w:pPr>
        <w:pStyle w:val="BesediloUMAR"/>
      </w:pPr>
      <w:r w:rsidRPr="00D64CB7">
        <w:rPr>
          <w:noProof/>
        </w:rPr>
        <w:drawing>
          <wp:inline distT="0" distB="0" distL="0" distR="0" wp14:anchorId="3EB3C145" wp14:editId="110A46B7">
            <wp:extent cx="5759450" cy="2095270"/>
            <wp:effectExtent l="0" t="0" r="0" b="63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59450" cy="2095270"/>
                    </a:xfrm>
                    <a:prstGeom prst="rect">
                      <a:avLst/>
                    </a:prstGeom>
                    <a:noFill/>
                    <a:ln>
                      <a:noFill/>
                    </a:ln>
                  </pic:spPr>
                </pic:pic>
              </a:graphicData>
            </a:graphic>
          </wp:inline>
        </w:drawing>
      </w:r>
    </w:p>
    <w:p w14:paraId="0F2C35E4" w14:textId="2869E85A" w:rsidR="000D0EB2" w:rsidRDefault="000D0EB2" w:rsidP="005F2E5D">
      <w:pPr>
        <w:pStyle w:val="VirUMAR"/>
      </w:pPr>
      <w:r w:rsidRPr="00EA2A47">
        <w:t xml:space="preserve">Vir: </w:t>
      </w:r>
      <w:r w:rsidRPr="00EA2A47">
        <w:fldChar w:fldCharType="begin"/>
      </w:r>
      <w:r w:rsidR="00CB4EF9">
        <w:instrText xml:space="preserve"> ADDIN ZOTERO_ITEM CSL_CITATION {"citationID":"RQbJmTYY","properties":{"custom":"Eurostat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279534C3" w14:textId="77777777" w:rsidR="00CD43C6" w:rsidRDefault="00CD43C6" w:rsidP="005F2E5D">
      <w:pPr>
        <w:pStyle w:val="VirUMAR"/>
      </w:pPr>
    </w:p>
    <w:p w14:paraId="3C01D38A" w14:textId="490ABB30" w:rsidR="001C2D34" w:rsidRPr="00BD24D8" w:rsidRDefault="003F2420" w:rsidP="00B84C29">
      <w:pPr>
        <w:pStyle w:val="Caption"/>
      </w:pPr>
      <w:bookmarkStart w:id="63" w:name="_Ref142052516"/>
      <w:bookmarkStart w:id="64" w:name="_Toc146283043"/>
      <w:r w:rsidRPr="00BD24D8">
        <w:t xml:space="preserve">Slika </w:t>
      </w:r>
      <w:r w:rsidRPr="00BD24D8">
        <w:fldChar w:fldCharType="begin"/>
      </w:r>
      <w:r w:rsidRPr="00BD24D8">
        <w:instrText xml:space="preserve"> SEQ Slika \* ARABIC </w:instrText>
      </w:r>
      <w:r w:rsidRPr="00BD24D8">
        <w:fldChar w:fldCharType="separate"/>
      </w:r>
      <w:r w:rsidR="00B3724D">
        <w:t>24</w:t>
      </w:r>
      <w:r w:rsidRPr="00BD24D8">
        <w:fldChar w:fldCharType="end"/>
      </w:r>
      <w:bookmarkEnd w:id="63"/>
      <w:r w:rsidRPr="00BD24D8">
        <w:t>:</w:t>
      </w:r>
      <w:r w:rsidR="001F4FB8" w:rsidRPr="00BD24D8">
        <w:t xml:space="preserve"> </w:t>
      </w:r>
      <w:r w:rsidR="000A0013">
        <w:t>Le v sc</w:t>
      </w:r>
      <w:r w:rsidR="002B4E46">
        <w:t>e</w:t>
      </w:r>
      <w:r w:rsidR="000A0013">
        <w:t>n</w:t>
      </w:r>
      <w:r w:rsidR="002B4E46">
        <w:t>a</w:t>
      </w:r>
      <w:r w:rsidR="000A0013">
        <w:t>riju višjega</w:t>
      </w:r>
      <w:r w:rsidR="00DB27C0" w:rsidRPr="007E0D40">
        <w:t xml:space="preserve"> selitven</w:t>
      </w:r>
      <w:r w:rsidR="000A0013">
        <w:t>ega</w:t>
      </w:r>
      <w:r w:rsidR="00DB27C0" w:rsidRPr="007E0D40">
        <w:t xml:space="preserve"> prirast</w:t>
      </w:r>
      <w:r w:rsidR="000A0013">
        <w:t>a</w:t>
      </w:r>
      <w:r w:rsidR="00DB27C0" w:rsidRPr="007E0D40">
        <w:t xml:space="preserve"> bi </w:t>
      </w:r>
      <w:r w:rsidR="000A0013">
        <w:t>bilo prebivalcev več kot</w:t>
      </w:r>
      <w:r w:rsidR="00DB27C0" w:rsidRPr="007E0D40">
        <w:t xml:space="preserve"> v osnovnem scenariju, </w:t>
      </w:r>
      <w:r w:rsidR="00AC33A4">
        <w:t xml:space="preserve">poleg tega </w:t>
      </w:r>
      <w:r w:rsidR="00DB27C0" w:rsidRPr="007E0D40">
        <w:t xml:space="preserve">je </w:t>
      </w:r>
      <w:r w:rsidR="00BE689A">
        <w:t xml:space="preserve">to </w:t>
      </w:r>
      <w:r w:rsidR="00DB27C0" w:rsidRPr="007E0D40">
        <w:t xml:space="preserve">edini scenarij, kjer bi </w:t>
      </w:r>
      <w:r w:rsidR="002D7445">
        <w:t xml:space="preserve">bil </w:t>
      </w:r>
      <w:r w:rsidR="00DB27C0" w:rsidRPr="007E0D40">
        <w:t xml:space="preserve">koeficient </w:t>
      </w:r>
      <w:r w:rsidR="004F13DD">
        <w:t>starostne odvisnosti starejših</w:t>
      </w:r>
      <w:r w:rsidR="00DB27C0" w:rsidRPr="007E0D40">
        <w:t xml:space="preserve"> nižji kot v osnovnem scenariju</w:t>
      </w:r>
      <w:r w:rsidR="00BE689A">
        <w:t>; leto 2060 (leva slika) in leto 2100 (desna slika)</w:t>
      </w:r>
      <w:bookmarkEnd w:id="64"/>
      <w:r w:rsidR="00DB27C0">
        <w:t xml:space="preserve"> </w:t>
      </w:r>
    </w:p>
    <w:p w14:paraId="2D1D266E" w14:textId="0B26E58D" w:rsidR="001C2D34" w:rsidRDefault="00E36968" w:rsidP="000A74B7">
      <w:pPr>
        <w:pStyle w:val="BesediloUMAR"/>
      </w:pPr>
      <w:r w:rsidRPr="00E36968">
        <w:t xml:space="preserve"> </w:t>
      </w:r>
      <w:r w:rsidR="000A23DB">
        <w:rPr>
          <w:noProof/>
        </w:rPr>
        <w:drawing>
          <wp:inline distT="0" distB="0" distL="0" distR="0" wp14:anchorId="46BC2600" wp14:editId="5DFBA264">
            <wp:extent cx="5676900" cy="2217079"/>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06350" cy="2228581"/>
                    </a:xfrm>
                    <a:prstGeom prst="rect">
                      <a:avLst/>
                    </a:prstGeom>
                    <a:noFill/>
                  </pic:spPr>
                </pic:pic>
              </a:graphicData>
            </a:graphic>
          </wp:inline>
        </w:drawing>
      </w:r>
    </w:p>
    <w:p w14:paraId="2E1C1F3B" w14:textId="197A866D" w:rsidR="000D0EB2" w:rsidRPr="00EA2A47" w:rsidRDefault="000D0EB2" w:rsidP="00024A1E">
      <w:pPr>
        <w:pStyle w:val="VirUMAR"/>
      </w:pPr>
      <w:r w:rsidRPr="00EA2A47">
        <w:t xml:space="preserve">Vir: </w:t>
      </w:r>
      <w:r w:rsidRPr="00EA2A47">
        <w:fldChar w:fldCharType="begin"/>
      </w:r>
      <w:r w:rsidR="00CB4EF9">
        <w:instrText xml:space="preserve"> ADDIN ZOTERO_ITEM CSL_CITATION {"citationID":"zGkrRhcH","properties":{"custom":"Eurostat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3A079F86" w14:textId="1A22EE11" w:rsidR="00567C95" w:rsidRDefault="005F5C58" w:rsidP="009E31F0">
      <w:pPr>
        <w:pStyle w:val="BesediloUMAR"/>
        <w:rPr>
          <w:b/>
          <w:bCs/>
          <w:noProof/>
          <w:szCs w:val="20"/>
        </w:rPr>
      </w:pPr>
      <w:r w:rsidRPr="005F5C58">
        <w:rPr>
          <w:b/>
          <w:bCs/>
          <w:noProof/>
          <w:szCs w:val="20"/>
        </w:rPr>
        <w:lastRenderedPageBreak/>
        <w:t>Po vseh scenarijih se med različnimi starostnimi skupinami poveča le število starejših prebivalcev.</w:t>
      </w:r>
      <w:r>
        <w:rPr>
          <w:b/>
          <w:bCs/>
          <w:noProof/>
          <w:szCs w:val="20"/>
        </w:rPr>
        <w:t xml:space="preserve"> </w:t>
      </w:r>
      <w:r w:rsidR="00D01D1E" w:rsidRPr="00371FD5">
        <w:rPr>
          <w:bCs/>
          <w:noProof/>
          <w:szCs w:val="20"/>
        </w:rPr>
        <w:t xml:space="preserve">Absolutno </w:t>
      </w:r>
      <w:r w:rsidR="00D6129B">
        <w:rPr>
          <w:bCs/>
          <w:noProof/>
          <w:szCs w:val="20"/>
        </w:rPr>
        <w:t xml:space="preserve">jih je najmanj </w:t>
      </w:r>
      <w:r w:rsidR="00633815" w:rsidRPr="002F7820">
        <w:t xml:space="preserve">v </w:t>
      </w:r>
      <w:r w:rsidR="009D7BA0">
        <w:t>scenariju</w:t>
      </w:r>
      <w:r w:rsidR="00633815" w:rsidRPr="002F7820">
        <w:t xml:space="preserve"> brez selitvenega prirasta</w:t>
      </w:r>
      <w:r w:rsidR="00D01D1E">
        <w:t xml:space="preserve">, kjer se število prebivalcev zniža za več kot </w:t>
      </w:r>
      <w:r w:rsidR="00741410">
        <w:br/>
      </w:r>
      <w:r w:rsidR="00D01D1E">
        <w:t>700 tisoč.</w:t>
      </w:r>
      <w:r w:rsidR="007D4259">
        <w:t xml:space="preserve"> </w:t>
      </w:r>
      <w:r w:rsidR="00371FD5">
        <w:t>Največ pa</w:t>
      </w:r>
      <w:r w:rsidR="00F96913">
        <w:t xml:space="preserve"> v primeru višjega selitvenega prirasta,</w:t>
      </w:r>
      <w:r w:rsidR="00633815" w:rsidRPr="002F7820">
        <w:t xml:space="preserve"> saj se tudi </w:t>
      </w:r>
      <w:r w:rsidR="001E58DD" w:rsidRPr="002F7820">
        <w:t xml:space="preserve">selivci, ki ostanejo, postarajo. </w:t>
      </w:r>
      <w:r w:rsidR="00A31534">
        <w:t>S</w:t>
      </w:r>
      <w:r w:rsidR="001E58DD" w:rsidRPr="002F7820">
        <w:t>cenarij</w:t>
      </w:r>
      <w:r w:rsidR="00A31534">
        <w:t xml:space="preserve"> višjega selitvenega prirasta pa je</w:t>
      </w:r>
      <w:r w:rsidR="001E58DD" w:rsidRPr="002F7820">
        <w:t xml:space="preserve"> tudi edini, </w:t>
      </w:r>
      <w:r w:rsidR="00A31534">
        <w:t xml:space="preserve">pri katerem </w:t>
      </w:r>
      <w:r w:rsidR="00273C4A" w:rsidRPr="002F7820">
        <w:t xml:space="preserve">se število prebivalcev </w:t>
      </w:r>
      <w:r w:rsidR="002073F1">
        <w:t xml:space="preserve">med leti 2022 in 2100 </w:t>
      </w:r>
      <w:r w:rsidR="00273C4A" w:rsidRPr="002F7820">
        <w:t xml:space="preserve">poveča in </w:t>
      </w:r>
      <w:r w:rsidR="000B256A">
        <w:t xml:space="preserve">se </w:t>
      </w:r>
      <w:r w:rsidR="00273C4A" w:rsidRPr="002F7820">
        <w:t xml:space="preserve">število delovno sposobnih </w:t>
      </w:r>
      <w:r w:rsidR="00285EA2">
        <w:t>zmanjša</w:t>
      </w:r>
      <w:r w:rsidR="000B256A">
        <w:t xml:space="preserve"> </w:t>
      </w:r>
      <w:r w:rsidR="000B256A" w:rsidRPr="00285EA2">
        <w:t xml:space="preserve">za </w:t>
      </w:r>
      <w:r w:rsidR="00273C4A" w:rsidRPr="00285EA2">
        <w:t xml:space="preserve">najmanj </w:t>
      </w:r>
      <w:r w:rsidR="000B256A" w:rsidRPr="00285EA2">
        <w:t xml:space="preserve">izmed vseh scenarijev </w:t>
      </w:r>
      <w:r w:rsidR="002073F1" w:rsidRPr="00285EA2">
        <w:t xml:space="preserve">(za </w:t>
      </w:r>
      <w:r w:rsidR="007C5ACC" w:rsidRPr="002F7820">
        <w:t>92</w:t>
      </w:r>
      <w:r w:rsidR="00273C4A" w:rsidRPr="002F7820">
        <w:t xml:space="preserve"> tisoč oseb</w:t>
      </w:r>
      <w:r w:rsidR="002073F1">
        <w:t>)</w:t>
      </w:r>
      <w:r w:rsidR="00273C4A" w:rsidRPr="002F7820">
        <w:t xml:space="preserve">. </w:t>
      </w:r>
      <w:r w:rsidR="00630EF4" w:rsidRPr="002F7820">
        <w:t>Število</w:t>
      </w:r>
      <w:r w:rsidR="00273C4A" w:rsidRPr="002F7820">
        <w:t xml:space="preserve"> delovno sposobnih </w:t>
      </w:r>
      <w:r w:rsidR="00285EA2">
        <w:t xml:space="preserve">se </w:t>
      </w:r>
      <w:r w:rsidR="00435BF3" w:rsidRPr="002F7820">
        <w:t xml:space="preserve">najbolj </w:t>
      </w:r>
      <w:r w:rsidR="00285EA2">
        <w:t xml:space="preserve">zmanjša </w:t>
      </w:r>
      <w:r w:rsidR="00273C4A" w:rsidRPr="002F7820">
        <w:t>v primeru</w:t>
      </w:r>
      <w:r w:rsidR="00A145E4">
        <w:t>, ko ni selitvenega prirasta (</w:t>
      </w:r>
      <w:r w:rsidR="00371FD5">
        <w:t xml:space="preserve">skoraj 600 </w:t>
      </w:r>
      <w:r w:rsidR="00A145E4">
        <w:t>tisoč)</w:t>
      </w:r>
      <w:r w:rsidR="00A93F40" w:rsidRPr="002F7820">
        <w:t>.</w:t>
      </w:r>
    </w:p>
    <w:p w14:paraId="70EC292F" w14:textId="677C6AD3" w:rsidR="0091167A" w:rsidRDefault="008D42AD" w:rsidP="00B84C29">
      <w:pPr>
        <w:pStyle w:val="Caption"/>
      </w:pPr>
      <w:bookmarkStart w:id="65" w:name="_Toc146283044"/>
      <w:r w:rsidRPr="00BD24D8">
        <w:t xml:space="preserve">Slika </w:t>
      </w:r>
      <w:r w:rsidRPr="00BD24D8">
        <w:fldChar w:fldCharType="begin"/>
      </w:r>
      <w:r w:rsidRPr="00BD24D8">
        <w:instrText xml:space="preserve"> SEQ Slika \* ARABIC </w:instrText>
      </w:r>
      <w:r w:rsidRPr="00BD24D8">
        <w:fldChar w:fldCharType="separate"/>
      </w:r>
      <w:r w:rsidR="00B3724D">
        <w:t>25</w:t>
      </w:r>
      <w:r w:rsidRPr="00BD24D8">
        <w:fldChar w:fldCharType="end"/>
      </w:r>
      <w:r w:rsidRPr="00BD24D8">
        <w:t xml:space="preserve">: </w:t>
      </w:r>
      <w:r w:rsidR="00BE03E6">
        <w:t xml:space="preserve">V primeru višjega selitvenega prirasta bi se število prebivalcev med leti 2022 in 2100 lahko povečalo, najbolj število starejših, </w:t>
      </w:r>
      <w:r w:rsidR="00237532">
        <w:t>število mladih in delovno sposobnih pa bi najmanj upadlo</w:t>
      </w:r>
      <w:bookmarkEnd w:id="65"/>
      <w:r w:rsidR="004C48DC">
        <w:t xml:space="preserve"> </w:t>
      </w:r>
    </w:p>
    <w:p w14:paraId="1228FE90" w14:textId="73B462C0" w:rsidR="00144CE4" w:rsidRDefault="00144CE4" w:rsidP="009E31F0">
      <w:pPr>
        <w:pStyle w:val="BesediloUMAR"/>
      </w:pPr>
      <w:r w:rsidRPr="00144CE4">
        <w:rPr>
          <w:noProof/>
        </w:rPr>
        <w:drawing>
          <wp:inline distT="0" distB="0" distL="0" distR="0" wp14:anchorId="69AC50BD" wp14:editId="2BF84910">
            <wp:extent cx="5759450" cy="2083009"/>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59450" cy="2083009"/>
                    </a:xfrm>
                    <a:prstGeom prst="rect">
                      <a:avLst/>
                    </a:prstGeom>
                    <a:noFill/>
                    <a:ln>
                      <a:noFill/>
                    </a:ln>
                  </pic:spPr>
                </pic:pic>
              </a:graphicData>
            </a:graphic>
          </wp:inline>
        </w:drawing>
      </w:r>
    </w:p>
    <w:p w14:paraId="2EF4D514" w14:textId="435F2928" w:rsidR="009E31F0" w:rsidRDefault="000D0EB2" w:rsidP="005F2E5D">
      <w:pPr>
        <w:pStyle w:val="VirUMAR"/>
      </w:pPr>
      <w:r w:rsidRPr="00EA2A47">
        <w:t xml:space="preserve">Vir: </w:t>
      </w:r>
      <w:r w:rsidRPr="00EA2A47">
        <w:fldChar w:fldCharType="begin"/>
      </w:r>
      <w:r w:rsidR="00CB4EF9">
        <w:instrText xml:space="preserve"> ADDIN ZOTERO_ITEM CSL_CITATION {"citationID":"1C5g5mwY","properties":{"custom":"Eurostat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34BAB26F" w14:textId="77777777" w:rsidR="005F2E5D" w:rsidRDefault="005F2E5D" w:rsidP="005F2E5D">
      <w:pPr>
        <w:pStyle w:val="VirUMAR"/>
      </w:pPr>
    </w:p>
    <w:p w14:paraId="55933A07" w14:textId="31E35ED7" w:rsidR="00593CDF" w:rsidRDefault="00FC728C" w:rsidP="00B84C29">
      <w:pPr>
        <w:pStyle w:val="Caption"/>
      </w:pPr>
      <w:bookmarkStart w:id="66" w:name="_Toc146283045"/>
      <w:r w:rsidRPr="0015425A">
        <w:t xml:space="preserve">Slika </w:t>
      </w:r>
      <w:r w:rsidRPr="0015425A">
        <w:fldChar w:fldCharType="begin"/>
      </w:r>
      <w:r w:rsidRPr="0015425A">
        <w:instrText xml:space="preserve"> SEQ Slika \* ARABIC </w:instrText>
      </w:r>
      <w:r w:rsidRPr="0015425A">
        <w:fldChar w:fldCharType="separate"/>
      </w:r>
      <w:r w:rsidR="00B3724D">
        <w:t>26</w:t>
      </w:r>
      <w:r w:rsidRPr="0015425A">
        <w:fldChar w:fldCharType="end"/>
      </w:r>
      <w:r w:rsidR="00DF5D90" w:rsidRPr="0015425A">
        <w:t xml:space="preserve">: </w:t>
      </w:r>
      <w:r w:rsidR="002475D1" w:rsidRPr="0015425A">
        <w:t xml:space="preserve">Izmed testov </w:t>
      </w:r>
      <w:r w:rsidR="002475D1" w:rsidRPr="00C015D4">
        <w:t xml:space="preserve">občutljivosti bi </w:t>
      </w:r>
      <w:r w:rsidR="001D5D88" w:rsidRPr="00C015D4">
        <w:t xml:space="preserve">bil </w:t>
      </w:r>
      <w:r w:rsidR="002475D1" w:rsidRPr="00C015D4">
        <w:t xml:space="preserve">v primerjavi z osnovnim scenarijem koeficient starostne odvisnosti starejših </w:t>
      </w:r>
      <w:r w:rsidR="001D5D88" w:rsidRPr="00C015D4">
        <w:t xml:space="preserve">leta 2100 najvišji </w:t>
      </w:r>
      <w:r w:rsidR="0015425A" w:rsidRPr="00C015D4">
        <w:t xml:space="preserve">v scenariju </w:t>
      </w:r>
      <w:r w:rsidR="00A83AE6" w:rsidRPr="00C015D4">
        <w:t>nižj</w:t>
      </w:r>
      <w:r w:rsidR="0015425A" w:rsidRPr="00C015D4">
        <w:t>e</w:t>
      </w:r>
      <w:r w:rsidR="00A83AE6" w:rsidRPr="00C015D4">
        <w:t xml:space="preserve"> rodnosti</w:t>
      </w:r>
      <w:r w:rsidR="00A65B5B" w:rsidRPr="00C015D4">
        <w:t xml:space="preserve"> (leva slika)</w:t>
      </w:r>
      <w:r w:rsidR="00A83AE6" w:rsidRPr="00C015D4">
        <w:t xml:space="preserve">, prav </w:t>
      </w:r>
      <w:r w:rsidR="00A83AE6" w:rsidRPr="0015425A">
        <w:t xml:space="preserve">tako bi </w:t>
      </w:r>
      <w:r w:rsidR="00435BF3" w:rsidRPr="0015425A">
        <w:t xml:space="preserve">bil </w:t>
      </w:r>
      <w:r w:rsidR="00A83AE6" w:rsidRPr="0015425A">
        <w:t>v tem scenariju koeficient najvišji leta 2100 v primerjavi z letom</w:t>
      </w:r>
      <w:r w:rsidR="00C777B1" w:rsidRPr="0015425A">
        <w:t xml:space="preserve"> 2022</w:t>
      </w:r>
      <w:r w:rsidR="00A65B5B" w:rsidRPr="0015425A">
        <w:t xml:space="preserve"> (desna slika)</w:t>
      </w:r>
      <w:bookmarkEnd w:id="66"/>
    </w:p>
    <w:p w14:paraId="7E1A33A1" w14:textId="25371B53" w:rsidR="001000BE" w:rsidRPr="005F2E5D" w:rsidRDefault="005F2E5D" w:rsidP="000A74B7">
      <w:pPr>
        <w:pStyle w:val="BesediloUMAR"/>
        <w:rPr>
          <w:b/>
          <w:bCs/>
          <w:noProof/>
          <w:szCs w:val="20"/>
        </w:rPr>
      </w:pPr>
      <w:r w:rsidRPr="005F2E5D">
        <w:rPr>
          <w:noProof/>
        </w:rPr>
        <w:drawing>
          <wp:inline distT="0" distB="0" distL="0" distR="0" wp14:anchorId="4678FDC8" wp14:editId="06684D93">
            <wp:extent cx="2786400" cy="229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86400" cy="2293200"/>
                    </a:xfrm>
                    <a:prstGeom prst="rect">
                      <a:avLst/>
                    </a:prstGeom>
                    <a:noFill/>
                    <a:ln>
                      <a:noFill/>
                    </a:ln>
                  </pic:spPr>
                </pic:pic>
              </a:graphicData>
            </a:graphic>
          </wp:inline>
        </w:drawing>
      </w:r>
      <w:r>
        <w:rPr>
          <w:b/>
          <w:bCs/>
          <w:noProof/>
          <w:szCs w:val="20"/>
        </w:rPr>
        <w:t xml:space="preserve">     </w:t>
      </w:r>
      <w:r w:rsidRPr="005F2E5D">
        <w:rPr>
          <w:noProof/>
        </w:rPr>
        <w:drawing>
          <wp:inline distT="0" distB="0" distL="0" distR="0" wp14:anchorId="222BA405" wp14:editId="4E200D74">
            <wp:extent cx="2782800" cy="2296800"/>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82800" cy="2296800"/>
                    </a:xfrm>
                    <a:prstGeom prst="rect">
                      <a:avLst/>
                    </a:prstGeom>
                    <a:noFill/>
                    <a:ln>
                      <a:noFill/>
                    </a:ln>
                  </pic:spPr>
                </pic:pic>
              </a:graphicData>
            </a:graphic>
          </wp:inline>
        </w:drawing>
      </w:r>
    </w:p>
    <w:p w14:paraId="7634091E" w14:textId="37947A5B" w:rsidR="00A74D74" w:rsidRPr="00EA2A47" w:rsidRDefault="00A74D74" w:rsidP="005F2E5D">
      <w:pPr>
        <w:pStyle w:val="VirUMAR"/>
      </w:pPr>
      <w:r w:rsidRPr="00EA2A47">
        <w:t xml:space="preserve">Vir: </w:t>
      </w:r>
      <w:r w:rsidRPr="00EA2A47">
        <w:fldChar w:fldCharType="begin"/>
      </w:r>
      <w:r w:rsidR="00CB4EF9">
        <w:instrText xml:space="preserve"> ADDIN ZOTERO_ITEM CSL_CITATION {"citationID":"4YJehzTr","properties":{"custom":"Eurostat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5F2EAF15" w14:textId="77777777" w:rsidR="001000BE" w:rsidRDefault="001000BE" w:rsidP="000A74B7">
      <w:pPr>
        <w:pStyle w:val="BesediloUMAR"/>
      </w:pPr>
    </w:p>
    <w:p w14:paraId="30E8CE81" w14:textId="77777777" w:rsidR="00BF5FDA" w:rsidRDefault="00BF5FDA" w:rsidP="00E355D9">
      <w:pPr>
        <w:pStyle w:val="BesediloUMAR"/>
      </w:pPr>
    </w:p>
    <w:p w14:paraId="2E92FB40" w14:textId="77777777" w:rsidR="000917C6" w:rsidRDefault="000917C6">
      <w:pPr>
        <w:spacing w:after="0" w:line="240" w:lineRule="auto"/>
        <w:rPr>
          <w:rFonts w:ascii="Myriad Pro" w:hAnsi="Myriad Pro"/>
          <w:b/>
          <w:bCs/>
          <w:noProof/>
          <w:sz w:val="20"/>
          <w:szCs w:val="20"/>
        </w:rPr>
      </w:pPr>
      <w:r>
        <w:br w:type="page"/>
      </w:r>
    </w:p>
    <w:p w14:paraId="2D5AC567" w14:textId="1A8F7D34" w:rsidR="00B14CFA" w:rsidRPr="00207307" w:rsidRDefault="00B14CFA" w:rsidP="00B84C29">
      <w:pPr>
        <w:pStyle w:val="Caption"/>
      </w:pPr>
      <w:bookmarkStart w:id="67" w:name="_Toc146283047"/>
      <w:r w:rsidRPr="00207307">
        <w:lastRenderedPageBreak/>
        <w:t xml:space="preserve">Tabela </w:t>
      </w:r>
      <w:r w:rsidRPr="00207307">
        <w:fldChar w:fldCharType="begin"/>
      </w:r>
      <w:r w:rsidRPr="00207307">
        <w:instrText xml:space="preserve"> SEQ Tabela \* ARABIC </w:instrText>
      </w:r>
      <w:r w:rsidRPr="00207307">
        <w:fldChar w:fldCharType="separate"/>
      </w:r>
      <w:r w:rsidR="00B3724D">
        <w:t>2</w:t>
      </w:r>
      <w:r w:rsidRPr="00207307">
        <w:fldChar w:fldCharType="end"/>
      </w:r>
      <w:r w:rsidRPr="00207307">
        <w:t xml:space="preserve">: Demografski kazalniki </w:t>
      </w:r>
      <w:r w:rsidR="000917C6" w:rsidRPr="00207307">
        <w:t xml:space="preserve">osnovne </w:t>
      </w:r>
      <w:r w:rsidRPr="00207307">
        <w:t>projekcije EUROPOP2023</w:t>
      </w:r>
      <w:r w:rsidR="000917C6" w:rsidRPr="00207307">
        <w:t xml:space="preserve"> in scenarijev občutljivosti za Slovenijo in EU za leta 2022, 2060 in 2100</w:t>
      </w:r>
      <w:bookmarkEnd w:id="67"/>
    </w:p>
    <w:tbl>
      <w:tblPr>
        <w:tblW w:w="5000" w:type="pct"/>
        <w:tblCellMar>
          <w:left w:w="0" w:type="dxa"/>
          <w:right w:w="70" w:type="dxa"/>
        </w:tblCellMar>
        <w:tblLook w:val="04A0" w:firstRow="1" w:lastRow="0" w:firstColumn="1" w:lastColumn="0" w:noHBand="0" w:noVBand="1"/>
      </w:tblPr>
      <w:tblGrid>
        <w:gridCol w:w="3140"/>
        <w:gridCol w:w="1030"/>
        <w:gridCol w:w="1047"/>
        <w:gridCol w:w="1047"/>
        <w:gridCol w:w="936"/>
        <w:gridCol w:w="936"/>
        <w:gridCol w:w="934"/>
      </w:tblGrid>
      <w:tr w:rsidR="00BA46ED" w:rsidRPr="00BA46ED" w14:paraId="284B0E36" w14:textId="77777777" w:rsidTr="00207307">
        <w:trPr>
          <w:trHeight w:val="264"/>
        </w:trPr>
        <w:tc>
          <w:tcPr>
            <w:tcW w:w="1731" w:type="pct"/>
            <w:tcBorders>
              <w:top w:val="single" w:sz="4" w:space="0" w:color="auto"/>
              <w:left w:val="nil"/>
              <w:right w:val="single" w:sz="4" w:space="0" w:color="auto"/>
            </w:tcBorders>
            <w:shd w:val="clear" w:color="auto" w:fill="DCDCDC" w:themeFill="accent4" w:themeFillTint="33"/>
            <w:noWrap/>
            <w:vAlign w:val="bottom"/>
          </w:tcPr>
          <w:p w14:paraId="52BE0ADD" w14:textId="77777777" w:rsidR="00BA46ED" w:rsidRPr="00BA46ED" w:rsidRDefault="00BA46ED" w:rsidP="002B05BA">
            <w:pPr>
              <w:pStyle w:val="TabelaglavalevoUMAR"/>
              <w:rPr>
                <w:lang w:eastAsia="sl-SI"/>
              </w:rPr>
            </w:pPr>
          </w:p>
        </w:tc>
        <w:tc>
          <w:tcPr>
            <w:tcW w:w="1722" w:type="pct"/>
            <w:gridSpan w:val="3"/>
            <w:tcBorders>
              <w:top w:val="single" w:sz="4" w:space="0" w:color="auto"/>
              <w:left w:val="single" w:sz="4" w:space="0" w:color="auto"/>
              <w:bottom w:val="single" w:sz="4" w:space="0" w:color="auto"/>
              <w:right w:val="single" w:sz="4" w:space="0" w:color="auto"/>
            </w:tcBorders>
            <w:shd w:val="clear" w:color="auto" w:fill="DCDCDC" w:themeFill="accent4" w:themeFillTint="33"/>
            <w:noWrap/>
            <w:vAlign w:val="bottom"/>
            <w:hideMark/>
          </w:tcPr>
          <w:p w14:paraId="5FB3A7AF" w14:textId="77777777" w:rsidR="00BA46ED" w:rsidRPr="00BA46ED" w:rsidRDefault="00BA46ED" w:rsidP="00207307">
            <w:pPr>
              <w:pStyle w:val="TabelaglavadesnoUMAR"/>
              <w:jc w:val="center"/>
              <w:rPr>
                <w:lang w:eastAsia="sl-SI"/>
              </w:rPr>
            </w:pPr>
            <w:r w:rsidRPr="00BA46ED">
              <w:rPr>
                <w:lang w:eastAsia="sl-SI"/>
              </w:rPr>
              <w:t>Slovenija</w:t>
            </w:r>
          </w:p>
        </w:tc>
        <w:tc>
          <w:tcPr>
            <w:tcW w:w="1547" w:type="pct"/>
            <w:gridSpan w:val="3"/>
            <w:tcBorders>
              <w:top w:val="single" w:sz="4" w:space="0" w:color="auto"/>
              <w:left w:val="single" w:sz="4" w:space="0" w:color="auto"/>
              <w:bottom w:val="single" w:sz="4" w:space="0" w:color="auto"/>
              <w:right w:val="nil"/>
            </w:tcBorders>
            <w:shd w:val="clear" w:color="auto" w:fill="DCDCDC" w:themeFill="accent4" w:themeFillTint="33"/>
            <w:noWrap/>
            <w:vAlign w:val="bottom"/>
            <w:hideMark/>
          </w:tcPr>
          <w:p w14:paraId="0A34D7E4" w14:textId="77777777" w:rsidR="00BA46ED" w:rsidRPr="00BA46ED" w:rsidRDefault="00BA46ED" w:rsidP="00207307">
            <w:pPr>
              <w:pStyle w:val="TabelaglavadesnoUMAR"/>
              <w:jc w:val="center"/>
              <w:rPr>
                <w:lang w:eastAsia="sl-SI"/>
              </w:rPr>
            </w:pPr>
            <w:r w:rsidRPr="00BA46ED">
              <w:rPr>
                <w:lang w:eastAsia="sl-SI"/>
              </w:rPr>
              <w:t>EU-27</w:t>
            </w:r>
          </w:p>
        </w:tc>
      </w:tr>
      <w:tr w:rsidR="00684FC2" w:rsidRPr="00BA46ED" w14:paraId="3980707B" w14:textId="77777777" w:rsidTr="00207307">
        <w:trPr>
          <w:trHeight w:val="264"/>
        </w:trPr>
        <w:tc>
          <w:tcPr>
            <w:tcW w:w="1731" w:type="pct"/>
            <w:tcBorders>
              <w:left w:val="nil"/>
              <w:bottom w:val="single" w:sz="8" w:space="0" w:color="auto"/>
              <w:right w:val="single" w:sz="4" w:space="0" w:color="auto"/>
            </w:tcBorders>
            <w:shd w:val="clear" w:color="auto" w:fill="DCDCDC" w:themeFill="accent4" w:themeFillTint="33"/>
            <w:noWrap/>
            <w:vAlign w:val="bottom"/>
            <w:hideMark/>
          </w:tcPr>
          <w:p w14:paraId="626CF2ED" w14:textId="77777777" w:rsidR="00684FC2" w:rsidRPr="00BA46ED" w:rsidRDefault="00684FC2" w:rsidP="002B05BA">
            <w:pPr>
              <w:pStyle w:val="TabelaglavalevoUMAR"/>
              <w:rPr>
                <w:rFonts w:cs="Arial"/>
                <w:color w:val="000000"/>
                <w:lang w:eastAsia="sl-SI"/>
              </w:rPr>
            </w:pPr>
          </w:p>
        </w:tc>
        <w:tc>
          <w:tcPr>
            <w:tcW w:w="568" w:type="pct"/>
            <w:tcBorders>
              <w:top w:val="single" w:sz="4" w:space="0" w:color="auto"/>
              <w:left w:val="single" w:sz="4" w:space="0" w:color="auto"/>
              <w:bottom w:val="single" w:sz="8" w:space="0" w:color="auto"/>
              <w:right w:val="single" w:sz="4" w:space="0" w:color="auto"/>
            </w:tcBorders>
            <w:shd w:val="clear" w:color="auto" w:fill="DCDCDC" w:themeFill="accent4" w:themeFillTint="33"/>
            <w:noWrap/>
            <w:vAlign w:val="bottom"/>
            <w:hideMark/>
          </w:tcPr>
          <w:p w14:paraId="08B0489D" w14:textId="77777777" w:rsidR="00684FC2" w:rsidRPr="00BA46ED" w:rsidRDefault="00684FC2" w:rsidP="009C0A9C">
            <w:pPr>
              <w:pStyle w:val="TabelaglavadesnoUMAR"/>
              <w:rPr>
                <w:lang w:eastAsia="sl-SI"/>
              </w:rPr>
            </w:pPr>
            <w:r w:rsidRPr="00BA46ED">
              <w:rPr>
                <w:lang w:eastAsia="sl-SI"/>
              </w:rPr>
              <w:t>2022</w:t>
            </w:r>
          </w:p>
        </w:tc>
        <w:tc>
          <w:tcPr>
            <w:tcW w:w="577" w:type="pct"/>
            <w:tcBorders>
              <w:top w:val="single" w:sz="4" w:space="0" w:color="auto"/>
              <w:left w:val="single" w:sz="4" w:space="0" w:color="auto"/>
              <w:bottom w:val="single" w:sz="8" w:space="0" w:color="auto"/>
              <w:right w:val="single" w:sz="4" w:space="0" w:color="auto"/>
            </w:tcBorders>
            <w:shd w:val="clear" w:color="auto" w:fill="DCDCDC" w:themeFill="accent4" w:themeFillTint="33"/>
            <w:noWrap/>
            <w:vAlign w:val="bottom"/>
            <w:hideMark/>
          </w:tcPr>
          <w:p w14:paraId="6DDE72B1" w14:textId="77777777" w:rsidR="00684FC2" w:rsidRPr="00BA46ED" w:rsidRDefault="00684FC2" w:rsidP="009C0A9C">
            <w:pPr>
              <w:pStyle w:val="TabelaglavadesnoUMAR"/>
              <w:rPr>
                <w:lang w:eastAsia="sl-SI"/>
              </w:rPr>
            </w:pPr>
            <w:r w:rsidRPr="00BA46ED">
              <w:rPr>
                <w:lang w:eastAsia="sl-SI"/>
              </w:rPr>
              <w:t>2060</w:t>
            </w:r>
          </w:p>
        </w:tc>
        <w:tc>
          <w:tcPr>
            <w:tcW w:w="577" w:type="pct"/>
            <w:tcBorders>
              <w:top w:val="single" w:sz="4" w:space="0" w:color="auto"/>
              <w:left w:val="single" w:sz="4" w:space="0" w:color="auto"/>
              <w:bottom w:val="single" w:sz="8" w:space="0" w:color="auto"/>
              <w:right w:val="single" w:sz="4" w:space="0" w:color="auto"/>
            </w:tcBorders>
            <w:shd w:val="clear" w:color="auto" w:fill="DCDCDC" w:themeFill="accent4" w:themeFillTint="33"/>
            <w:noWrap/>
            <w:vAlign w:val="bottom"/>
            <w:hideMark/>
          </w:tcPr>
          <w:p w14:paraId="09E2F155" w14:textId="77777777" w:rsidR="00684FC2" w:rsidRPr="00BA46ED" w:rsidRDefault="00684FC2" w:rsidP="009C0A9C">
            <w:pPr>
              <w:pStyle w:val="TabelaglavadesnoUMAR"/>
              <w:rPr>
                <w:lang w:eastAsia="sl-SI"/>
              </w:rPr>
            </w:pPr>
            <w:r w:rsidRPr="00BA46ED">
              <w:rPr>
                <w:lang w:eastAsia="sl-SI"/>
              </w:rPr>
              <w:t>2100</w:t>
            </w:r>
          </w:p>
        </w:tc>
        <w:tc>
          <w:tcPr>
            <w:tcW w:w="516" w:type="pct"/>
            <w:tcBorders>
              <w:top w:val="single" w:sz="4" w:space="0" w:color="auto"/>
              <w:left w:val="single" w:sz="4" w:space="0" w:color="auto"/>
              <w:bottom w:val="single" w:sz="8" w:space="0" w:color="auto"/>
              <w:right w:val="single" w:sz="4" w:space="0" w:color="auto"/>
            </w:tcBorders>
            <w:shd w:val="clear" w:color="auto" w:fill="DCDCDC" w:themeFill="accent4" w:themeFillTint="33"/>
            <w:noWrap/>
            <w:vAlign w:val="bottom"/>
            <w:hideMark/>
          </w:tcPr>
          <w:p w14:paraId="6250F543" w14:textId="77777777" w:rsidR="00684FC2" w:rsidRPr="00BA46ED" w:rsidRDefault="00684FC2" w:rsidP="009C0A9C">
            <w:pPr>
              <w:pStyle w:val="TabelaglavadesnoUMAR"/>
              <w:rPr>
                <w:lang w:eastAsia="sl-SI"/>
              </w:rPr>
            </w:pPr>
            <w:r w:rsidRPr="00BA46ED">
              <w:rPr>
                <w:lang w:eastAsia="sl-SI"/>
              </w:rPr>
              <w:t>2022</w:t>
            </w:r>
          </w:p>
        </w:tc>
        <w:tc>
          <w:tcPr>
            <w:tcW w:w="516" w:type="pct"/>
            <w:tcBorders>
              <w:top w:val="single" w:sz="4" w:space="0" w:color="auto"/>
              <w:left w:val="single" w:sz="4" w:space="0" w:color="auto"/>
              <w:bottom w:val="single" w:sz="8" w:space="0" w:color="auto"/>
              <w:right w:val="single" w:sz="4" w:space="0" w:color="auto"/>
            </w:tcBorders>
            <w:shd w:val="clear" w:color="auto" w:fill="DCDCDC" w:themeFill="accent4" w:themeFillTint="33"/>
            <w:noWrap/>
            <w:vAlign w:val="bottom"/>
            <w:hideMark/>
          </w:tcPr>
          <w:p w14:paraId="56DDEBB2" w14:textId="77777777" w:rsidR="00684FC2" w:rsidRPr="00BA46ED" w:rsidRDefault="00684FC2" w:rsidP="009C0A9C">
            <w:pPr>
              <w:pStyle w:val="TabelaglavadesnoUMAR"/>
              <w:rPr>
                <w:lang w:eastAsia="sl-SI"/>
              </w:rPr>
            </w:pPr>
            <w:r w:rsidRPr="00BA46ED">
              <w:rPr>
                <w:lang w:eastAsia="sl-SI"/>
              </w:rPr>
              <w:t>2060</w:t>
            </w:r>
          </w:p>
        </w:tc>
        <w:tc>
          <w:tcPr>
            <w:tcW w:w="515" w:type="pct"/>
            <w:tcBorders>
              <w:top w:val="single" w:sz="4" w:space="0" w:color="auto"/>
              <w:left w:val="single" w:sz="4" w:space="0" w:color="auto"/>
              <w:bottom w:val="single" w:sz="8" w:space="0" w:color="auto"/>
              <w:right w:val="nil"/>
            </w:tcBorders>
            <w:shd w:val="clear" w:color="auto" w:fill="DCDCDC" w:themeFill="accent4" w:themeFillTint="33"/>
            <w:noWrap/>
            <w:vAlign w:val="bottom"/>
            <w:hideMark/>
          </w:tcPr>
          <w:p w14:paraId="1AA7FC22" w14:textId="77777777" w:rsidR="00684FC2" w:rsidRPr="00BA46ED" w:rsidRDefault="00684FC2" w:rsidP="009C0A9C">
            <w:pPr>
              <w:pStyle w:val="TabelaglavadesnoUMAR"/>
              <w:rPr>
                <w:lang w:eastAsia="sl-SI"/>
              </w:rPr>
            </w:pPr>
            <w:r w:rsidRPr="00BA46ED">
              <w:rPr>
                <w:lang w:eastAsia="sl-SI"/>
              </w:rPr>
              <w:t>2100</w:t>
            </w:r>
          </w:p>
        </w:tc>
      </w:tr>
      <w:tr w:rsidR="00684FC2" w:rsidRPr="00BA46ED" w14:paraId="201B1C5B" w14:textId="77777777" w:rsidTr="00207307">
        <w:trPr>
          <w:trHeight w:val="264"/>
        </w:trPr>
        <w:tc>
          <w:tcPr>
            <w:tcW w:w="5000" w:type="pct"/>
            <w:gridSpan w:val="7"/>
            <w:tcBorders>
              <w:top w:val="single" w:sz="8" w:space="0" w:color="auto"/>
              <w:left w:val="nil"/>
              <w:bottom w:val="single" w:sz="4" w:space="0" w:color="auto"/>
              <w:right w:val="nil"/>
            </w:tcBorders>
            <w:shd w:val="clear" w:color="auto" w:fill="DCDCDC" w:themeFill="accent4" w:themeFillTint="33"/>
            <w:noWrap/>
            <w:vAlign w:val="center"/>
            <w:hideMark/>
          </w:tcPr>
          <w:p w14:paraId="0F67E724" w14:textId="77777777" w:rsidR="00684FC2" w:rsidRPr="00BA46ED" w:rsidRDefault="00684FC2" w:rsidP="009C0A9C">
            <w:pPr>
              <w:pStyle w:val="TabelaglavalevoUMAR"/>
              <w:rPr>
                <w:lang w:eastAsia="sl-SI"/>
              </w:rPr>
            </w:pPr>
            <w:r w:rsidRPr="00BA46ED">
              <w:rPr>
                <w:lang w:eastAsia="sl-SI"/>
              </w:rPr>
              <w:t>Število prebivalcev, 1.1., v mio</w:t>
            </w:r>
          </w:p>
        </w:tc>
      </w:tr>
      <w:tr w:rsidR="00041E59" w:rsidRPr="00BA46ED" w14:paraId="62702E62" w14:textId="77777777" w:rsidTr="00AC6C6D">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4B1BA573" w14:textId="77777777" w:rsidR="00041E59" w:rsidRPr="00BA46ED" w:rsidRDefault="00041E59" w:rsidP="009C0A9C">
            <w:pPr>
              <w:pStyle w:val="TabelalevoUMAR"/>
              <w:rPr>
                <w:lang w:eastAsia="sl-SI"/>
              </w:rPr>
            </w:pPr>
            <w:r w:rsidRPr="00BA46ED">
              <w:rPr>
                <w:lang w:eastAsia="sl-SI"/>
              </w:rPr>
              <w:t>Osnovni scenarij</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7172C" w14:textId="69D4D044" w:rsidR="00041E59" w:rsidRPr="00BA46ED" w:rsidRDefault="00041E59" w:rsidP="006C4BE6">
            <w:pPr>
              <w:pStyle w:val="TabeladesnoUMAR"/>
              <w:rPr>
                <w:lang w:eastAsia="sl-SI"/>
              </w:rPr>
            </w:pPr>
            <w:r w:rsidRPr="00BA46ED">
              <w:rPr>
                <w:lang w:eastAsia="sl-SI"/>
              </w:rPr>
              <w:t>2,1</w:t>
            </w:r>
            <w:r>
              <w:rPr>
                <w:lang w:eastAsia="sl-SI"/>
              </w:rPr>
              <w:t>07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0F07D" w14:textId="77777777" w:rsidR="00041E59" w:rsidRPr="00BA46ED" w:rsidRDefault="00041E59" w:rsidP="006C4BE6">
            <w:pPr>
              <w:pStyle w:val="TabeladesnoUMAR"/>
              <w:rPr>
                <w:lang w:eastAsia="sl-SI"/>
              </w:rPr>
            </w:pPr>
            <w:r w:rsidRPr="00BA46ED">
              <w:rPr>
                <w:lang w:eastAsia="sl-SI"/>
              </w:rPr>
              <w:t>2,050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6CED7" w14:textId="77777777" w:rsidR="00041E59" w:rsidRPr="00BA46ED" w:rsidRDefault="00041E59" w:rsidP="006C4BE6">
            <w:pPr>
              <w:pStyle w:val="TabeladesnoUMAR"/>
              <w:rPr>
                <w:lang w:eastAsia="sl-SI"/>
              </w:rPr>
            </w:pPr>
            <w:r w:rsidRPr="00BA46ED">
              <w:rPr>
                <w:lang w:eastAsia="sl-SI"/>
              </w:rPr>
              <w:t>1,951</w:t>
            </w:r>
          </w:p>
        </w:tc>
        <w:tc>
          <w:tcPr>
            <w:tcW w:w="516" w:type="pct"/>
            <w:vMerge w:val="restart"/>
            <w:tcBorders>
              <w:top w:val="single" w:sz="4" w:space="0" w:color="auto"/>
              <w:left w:val="single" w:sz="4" w:space="0" w:color="auto"/>
              <w:right w:val="single" w:sz="4" w:space="0" w:color="auto"/>
            </w:tcBorders>
            <w:shd w:val="clear" w:color="auto" w:fill="auto"/>
            <w:noWrap/>
            <w:vAlign w:val="center"/>
            <w:hideMark/>
          </w:tcPr>
          <w:p w14:paraId="01B9E972" w14:textId="641EEE18" w:rsidR="00041E59" w:rsidRPr="00BA46ED" w:rsidRDefault="00041E59" w:rsidP="00041E59">
            <w:pPr>
              <w:pStyle w:val="TabeladesnoUMAR"/>
              <w:rPr>
                <w:lang w:eastAsia="sl-SI"/>
              </w:rPr>
            </w:pPr>
            <w:r w:rsidRPr="00BA46ED">
              <w:rPr>
                <w:lang w:eastAsia="sl-SI"/>
              </w:rPr>
              <w:t>446,735</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D7E00" w14:textId="77777777" w:rsidR="00041E59" w:rsidRPr="00BA46ED" w:rsidRDefault="00041E59" w:rsidP="006C4BE6">
            <w:pPr>
              <w:pStyle w:val="TabeladesnoUMAR"/>
              <w:rPr>
                <w:lang w:eastAsia="sl-SI"/>
              </w:rPr>
            </w:pPr>
            <w:r w:rsidRPr="00BA46ED">
              <w:rPr>
                <w:lang w:eastAsia="sl-SI"/>
              </w:rPr>
              <w:t>440,054</w:t>
            </w:r>
          </w:p>
        </w:tc>
        <w:tc>
          <w:tcPr>
            <w:tcW w:w="515" w:type="pct"/>
            <w:tcBorders>
              <w:top w:val="single" w:sz="4" w:space="0" w:color="auto"/>
              <w:left w:val="single" w:sz="4" w:space="0" w:color="auto"/>
              <w:bottom w:val="single" w:sz="4" w:space="0" w:color="auto"/>
              <w:right w:val="nil"/>
            </w:tcBorders>
            <w:shd w:val="clear" w:color="auto" w:fill="auto"/>
            <w:noWrap/>
            <w:vAlign w:val="center"/>
            <w:hideMark/>
          </w:tcPr>
          <w:p w14:paraId="561799B2" w14:textId="77777777" w:rsidR="00041E59" w:rsidRPr="00BA46ED" w:rsidRDefault="00041E59" w:rsidP="006C4BE6">
            <w:pPr>
              <w:pStyle w:val="TabeladesnoUMAR"/>
              <w:rPr>
                <w:lang w:eastAsia="sl-SI"/>
              </w:rPr>
            </w:pPr>
            <w:r w:rsidRPr="00BA46ED">
              <w:rPr>
                <w:lang w:eastAsia="sl-SI"/>
              </w:rPr>
              <w:t>419,462</w:t>
            </w:r>
          </w:p>
        </w:tc>
      </w:tr>
      <w:tr w:rsidR="00041E59" w:rsidRPr="00BA46ED" w14:paraId="180C1D9C" w14:textId="77777777" w:rsidTr="00AC6C6D">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04B054F3" w14:textId="77777777" w:rsidR="00041E59" w:rsidRPr="00BA46ED" w:rsidRDefault="00041E59" w:rsidP="009C0A9C">
            <w:pPr>
              <w:pStyle w:val="TabelalevoUMAR"/>
              <w:rPr>
                <w:lang w:eastAsia="sl-SI"/>
              </w:rPr>
            </w:pPr>
            <w:r w:rsidRPr="00BA46ED">
              <w:rPr>
                <w:lang w:eastAsia="sl-SI"/>
              </w:rPr>
              <w:t>Nižja rodnost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7BB79E9A" w14:textId="77777777" w:rsidR="00041E59" w:rsidRPr="00BA46ED" w:rsidRDefault="00041E59"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8037" w14:textId="77777777" w:rsidR="00041E59" w:rsidRPr="00BA46ED" w:rsidRDefault="00041E59" w:rsidP="006C4BE6">
            <w:pPr>
              <w:pStyle w:val="TabeladesnoUMAR"/>
              <w:rPr>
                <w:lang w:eastAsia="sl-SI"/>
              </w:rPr>
            </w:pPr>
            <w:r w:rsidRPr="00BA46ED">
              <w:rPr>
                <w:lang w:eastAsia="sl-SI"/>
              </w:rPr>
              <w:t>1,927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FAB00" w14:textId="77777777" w:rsidR="00041E59" w:rsidRPr="00BA46ED" w:rsidRDefault="00041E59" w:rsidP="006C4BE6">
            <w:pPr>
              <w:pStyle w:val="TabeladesnoUMAR"/>
              <w:rPr>
                <w:lang w:eastAsia="sl-SI"/>
              </w:rPr>
            </w:pPr>
            <w:r w:rsidRPr="00BA46ED">
              <w:rPr>
                <w:lang w:eastAsia="sl-SI"/>
              </w:rPr>
              <w:t>1,658</w:t>
            </w:r>
          </w:p>
        </w:tc>
        <w:tc>
          <w:tcPr>
            <w:tcW w:w="516" w:type="pct"/>
            <w:vMerge/>
            <w:tcBorders>
              <w:left w:val="single" w:sz="4" w:space="0" w:color="auto"/>
              <w:right w:val="single" w:sz="4" w:space="0" w:color="auto"/>
            </w:tcBorders>
            <w:shd w:val="clear" w:color="auto" w:fill="auto"/>
            <w:noWrap/>
            <w:vAlign w:val="center"/>
            <w:hideMark/>
          </w:tcPr>
          <w:p w14:paraId="0AB003DB" w14:textId="6963CD57" w:rsidR="00041E59" w:rsidRPr="00BA46ED" w:rsidRDefault="00041E59" w:rsidP="006C4BE6">
            <w:pPr>
              <w:pStyle w:val="TabeladesnoUMAR"/>
              <w:rPr>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0AEC5" w14:textId="77777777" w:rsidR="00041E59" w:rsidRPr="00BA46ED" w:rsidRDefault="00041E59" w:rsidP="006C4BE6">
            <w:pPr>
              <w:pStyle w:val="TabeladesnoUMAR"/>
              <w:rPr>
                <w:lang w:eastAsia="sl-SI"/>
              </w:rPr>
            </w:pPr>
            <w:r w:rsidRPr="00BA46ED">
              <w:rPr>
                <w:lang w:eastAsia="sl-SI"/>
              </w:rPr>
              <w:t>412,366</w:t>
            </w:r>
          </w:p>
        </w:tc>
        <w:tc>
          <w:tcPr>
            <w:tcW w:w="515" w:type="pct"/>
            <w:tcBorders>
              <w:top w:val="single" w:sz="4" w:space="0" w:color="auto"/>
              <w:left w:val="single" w:sz="4" w:space="0" w:color="auto"/>
              <w:bottom w:val="single" w:sz="4" w:space="0" w:color="auto"/>
              <w:right w:val="nil"/>
            </w:tcBorders>
            <w:shd w:val="clear" w:color="auto" w:fill="auto"/>
            <w:noWrap/>
            <w:vAlign w:val="center"/>
            <w:hideMark/>
          </w:tcPr>
          <w:p w14:paraId="528D769C" w14:textId="77777777" w:rsidR="00041E59" w:rsidRPr="00BA46ED" w:rsidRDefault="00041E59" w:rsidP="006C4BE6">
            <w:pPr>
              <w:pStyle w:val="TabeladesnoUMAR"/>
              <w:rPr>
                <w:lang w:eastAsia="sl-SI"/>
              </w:rPr>
            </w:pPr>
            <w:r w:rsidRPr="00BA46ED">
              <w:rPr>
                <w:lang w:eastAsia="sl-SI"/>
              </w:rPr>
              <w:t>354,448</w:t>
            </w:r>
          </w:p>
        </w:tc>
      </w:tr>
      <w:tr w:rsidR="00041E59" w:rsidRPr="00BA46ED" w14:paraId="0F1F7B29" w14:textId="77777777" w:rsidTr="00AC6C6D">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23D8A278" w14:textId="77777777" w:rsidR="00041E59" w:rsidRPr="00BA46ED" w:rsidRDefault="00041E59" w:rsidP="009C0A9C">
            <w:pPr>
              <w:pStyle w:val="TabelalevoUMAR"/>
              <w:rPr>
                <w:lang w:eastAsia="sl-SI"/>
              </w:rPr>
            </w:pPr>
            <w:r w:rsidRPr="00BA46ED">
              <w:rPr>
                <w:lang w:eastAsia="sl-SI"/>
              </w:rPr>
              <w:t>Nižja umrljivost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48DDA34B" w14:textId="77777777" w:rsidR="00041E59" w:rsidRPr="00BA46ED" w:rsidRDefault="00041E59"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5BF2" w14:textId="77777777" w:rsidR="00041E59" w:rsidRPr="00BA46ED" w:rsidRDefault="00041E59" w:rsidP="006C4BE6">
            <w:pPr>
              <w:pStyle w:val="TabeladesnoUMAR"/>
              <w:rPr>
                <w:lang w:eastAsia="sl-SI"/>
              </w:rPr>
            </w:pPr>
            <w:r w:rsidRPr="00BA46ED">
              <w:rPr>
                <w:lang w:eastAsia="sl-SI"/>
              </w:rPr>
              <w:t>2,081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3BBC" w14:textId="77777777" w:rsidR="00041E59" w:rsidRPr="00BA46ED" w:rsidRDefault="00041E59" w:rsidP="006C4BE6">
            <w:pPr>
              <w:pStyle w:val="TabeladesnoUMAR"/>
              <w:rPr>
                <w:lang w:eastAsia="sl-SI"/>
              </w:rPr>
            </w:pPr>
            <w:r w:rsidRPr="00BA46ED">
              <w:rPr>
                <w:lang w:eastAsia="sl-SI"/>
              </w:rPr>
              <w:t>1,983</w:t>
            </w:r>
          </w:p>
        </w:tc>
        <w:tc>
          <w:tcPr>
            <w:tcW w:w="516" w:type="pct"/>
            <w:vMerge/>
            <w:tcBorders>
              <w:left w:val="single" w:sz="4" w:space="0" w:color="auto"/>
              <w:right w:val="single" w:sz="4" w:space="0" w:color="auto"/>
            </w:tcBorders>
            <w:shd w:val="clear" w:color="auto" w:fill="auto"/>
            <w:noWrap/>
            <w:vAlign w:val="center"/>
            <w:hideMark/>
          </w:tcPr>
          <w:p w14:paraId="29C29FFF" w14:textId="4415E265" w:rsidR="00041E59" w:rsidRPr="00BA46ED" w:rsidRDefault="00041E59" w:rsidP="006C4BE6">
            <w:pPr>
              <w:pStyle w:val="TabeladesnoUMAR"/>
              <w:rPr>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0C77D" w14:textId="77777777" w:rsidR="00041E59" w:rsidRPr="00BA46ED" w:rsidRDefault="00041E59" w:rsidP="006C4BE6">
            <w:pPr>
              <w:pStyle w:val="TabeladesnoUMAR"/>
              <w:rPr>
                <w:lang w:eastAsia="sl-SI"/>
              </w:rPr>
            </w:pPr>
            <w:r w:rsidRPr="00BA46ED">
              <w:rPr>
                <w:lang w:eastAsia="sl-SI"/>
              </w:rPr>
              <w:t>446,707</w:t>
            </w:r>
          </w:p>
        </w:tc>
        <w:tc>
          <w:tcPr>
            <w:tcW w:w="515" w:type="pct"/>
            <w:tcBorders>
              <w:top w:val="single" w:sz="4" w:space="0" w:color="auto"/>
              <w:left w:val="single" w:sz="4" w:space="0" w:color="auto"/>
              <w:bottom w:val="single" w:sz="4" w:space="0" w:color="auto"/>
              <w:right w:val="nil"/>
            </w:tcBorders>
            <w:shd w:val="clear" w:color="auto" w:fill="auto"/>
            <w:noWrap/>
            <w:vAlign w:val="center"/>
            <w:hideMark/>
          </w:tcPr>
          <w:p w14:paraId="2971D5B0" w14:textId="77777777" w:rsidR="00041E59" w:rsidRPr="00BA46ED" w:rsidRDefault="00041E59" w:rsidP="006C4BE6">
            <w:pPr>
              <w:pStyle w:val="TabeladesnoUMAR"/>
              <w:rPr>
                <w:lang w:eastAsia="sl-SI"/>
              </w:rPr>
            </w:pPr>
            <w:r w:rsidRPr="00BA46ED">
              <w:rPr>
                <w:lang w:eastAsia="sl-SI"/>
              </w:rPr>
              <w:t>427,078</w:t>
            </w:r>
          </w:p>
        </w:tc>
      </w:tr>
      <w:tr w:rsidR="00041E59" w:rsidRPr="00BA46ED" w14:paraId="5A9214D6" w14:textId="77777777" w:rsidTr="00AC6C6D">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45C48C8A" w14:textId="77777777" w:rsidR="00041E59" w:rsidRPr="00BA46ED" w:rsidRDefault="00041E59" w:rsidP="009C0A9C">
            <w:pPr>
              <w:pStyle w:val="TabelalevoUMAR"/>
              <w:rPr>
                <w:lang w:eastAsia="sl-SI"/>
              </w:rPr>
            </w:pPr>
            <w:r w:rsidRPr="00BA46ED">
              <w:rPr>
                <w:lang w:eastAsia="sl-SI"/>
              </w:rPr>
              <w:t>Višji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20507043" w14:textId="77777777" w:rsidR="00041E59" w:rsidRPr="00BA46ED" w:rsidRDefault="00041E59"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83EB" w14:textId="77777777" w:rsidR="00041E59" w:rsidRPr="00BA46ED" w:rsidRDefault="00041E59" w:rsidP="006C4BE6">
            <w:pPr>
              <w:pStyle w:val="TabeladesnoUMAR"/>
              <w:rPr>
                <w:lang w:eastAsia="sl-SI"/>
              </w:rPr>
            </w:pPr>
            <w:r w:rsidRPr="00BA46ED">
              <w:rPr>
                <w:lang w:eastAsia="sl-SI"/>
              </w:rPr>
              <w:t>2,243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4B673" w14:textId="77777777" w:rsidR="00041E59" w:rsidRPr="00BA46ED" w:rsidRDefault="00041E59" w:rsidP="006C4BE6">
            <w:pPr>
              <w:pStyle w:val="TabeladesnoUMAR"/>
              <w:rPr>
                <w:lang w:eastAsia="sl-SI"/>
              </w:rPr>
            </w:pPr>
            <w:r w:rsidRPr="00BA46ED">
              <w:rPr>
                <w:lang w:eastAsia="sl-SI"/>
              </w:rPr>
              <w:t>2,282</w:t>
            </w:r>
          </w:p>
        </w:tc>
        <w:tc>
          <w:tcPr>
            <w:tcW w:w="516" w:type="pct"/>
            <w:vMerge/>
            <w:tcBorders>
              <w:left w:val="single" w:sz="4" w:space="0" w:color="auto"/>
              <w:right w:val="single" w:sz="4" w:space="0" w:color="auto"/>
            </w:tcBorders>
            <w:shd w:val="clear" w:color="auto" w:fill="auto"/>
            <w:noWrap/>
            <w:vAlign w:val="center"/>
            <w:hideMark/>
          </w:tcPr>
          <w:p w14:paraId="74F818B7" w14:textId="07A65B67" w:rsidR="00041E59" w:rsidRPr="00BA46ED" w:rsidRDefault="00041E59" w:rsidP="006C4BE6">
            <w:pPr>
              <w:pStyle w:val="TabeladesnoUMAR"/>
              <w:rPr>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9147F" w14:textId="77777777" w:rsidR="00041E59" w:rsidRPr="00BA46ED" w:rsidRDefault="00041E59" w:rsidP="006C4BE6">
            <w:pPr>
              <w:pStyle w:val="TabeladesnoUMAR"/>
              <w:rPr>
                <w:lang w:eastAsia="sl-SI"/>
              </w:rPr>
            </w:pPr>
            <w:r w:rsidRPr="00BA46ED">
              <w:rPr>
                <w:lang w:eastAsia="sl-SI"/>
              </w:rPr>
              <w:t>466,395</w:t>
            </w:r>
          </w:p>
        </w:tc>
        <w:tc>
          <w:tcPr>
            <w:tcW w:w="515" w:type="pct"/>
            <w:tcBorders>
              <w:top w:val="single" w:sz="4" w:space="0" w:color="auto"/>
              <w:left w:val="single" w:sz="4" w:space="0" w:color="auto"/>
              <w:bottom w:val="single" w:sz="4" w:space="0" w:color="auto"/>
              <w:right w:val="nil"/>
            </w:tcBorders>
            <w:shd w:val="clear" w:color="auto" w:fill="auto"/>
            <w:noWrap/>
            <w:vAlign w:val="center"/>
            <w:hideMark/>
          </w:tcPr>
          <w:p w14:paraId="5EF43B41" w14:textId="77777777" w:rsidR="00041E59" w:rsidRPr="00BA46ED" w:rsidRDefault="00041E59" w:rsidP="006C4BE6">
            <w:pPr>
              <w:pStyle w:val="TabeladesnoUMAR"/>
              <w:rPr>
                <w:lang w:eastAsia="sl-SI"/>
              </w:rPr>
            </w:pPr>
            <w:r w:rsidRPr="00BA46ED">
              <w:rPr>
                <w:lang w:eastAsia="sl-SI"/>
              </w:rPr>
              <w:t>469,695</w:t>
            </w:r>
          </w:p>
        </w:tc>
      </w:tr>
      <w:tr w:rsidR="00041E59" w:rsidRPr="00BA46ED" w14:paraId="2C9F5CC4" w14:textId="77777777" w:rsidTr="00AC6C6D">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313648FC" w14:textId="77777777" w:rsidR="00041E59" w:rsidRPr="00BA46ED" w:rsidRDefault="00041E59" w:rsidP="009C0A9C">
            <w:pPr>
              <w:pStyle w:val="TabelalevoUMAR"/>
              <w:rPr>
                <w:lang w:eastAsia="sl-SI"/>
              </w:rPr>
            </w:pPr>
            <w:r w:rsidRPr="00BA46ED">
              <w:rPr>
                <w:lang w:eastAsia="sl-SI"/>
              </w:rPr>
              <w:t>Nižji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0A9AACF6" w14:textId="77777777" w:rsidR="00041E59" w:rsidRPr="00BA46ED" w:rsidRDefault="00041E59"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A22CB" w14:textId="77777777" w:rsidR="00041E59" w:rsidRPr="00BA46ED" w:rsidRDefault="00041E59" w:rsidP="006C4BE6">
            <w:pPr>
              <w:pStyle w:val="TabeladesnoUMAR"/>
              <w:rPr>
                <w:lang w:eastAsia="sl-SI"/>
              </w:rPr>
            </w:pPr>
            <w:r w:rsidRPr="00BA46ED">
              <w:rPr>
                <w:lang w:eastAsia="sl-SI"/>
              </w:rPr>
              <w:t>1,860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5C640" w14:textId="77777777" w:rsidR="00041E59" w:rsidRPr="00BA46ED" w:rsidRDefault="00041E59" w:rsidP="006C4BE6">
            <w:pPr>
              <w:pStyle w:val="TabeladesnoUMAR"/>
              <w:rPr>
                <w:lang w:eastAsia="sl-SI"/>
              </w:rPr>
            </w:pPr>
            <w:r w:rsidRPr="00BA46ED">
              <w:rPr>
                <w:lang w:eastAsia="sl-SI"/>
              </w:rPr>
              <w:t>1,624</w:t>
            </w:r>
          </w:p>
        </w:tc>
        <w:tc>
          <w:tcPr>
            <w:tcW w:w="516" w:type="pct"/>
            <w:vMerge/>
            <w:tcBorders>
              <w:left w:val="single" w:sz="4" w:space="0" w:color="auto"/>
              <w:right w:val="single" w:sz="4" w:space="0" w:color="auto"/>
            </w:tcBorders>
            <w:shd w:val="clear" w:color="auto" w:fill="auto"/>
            <w:noWrap/>
            <w:vAlign w:val="center"/>
            <w:hideMark/>
          </w:tcPr>
          <w:p w14:paraId="16D34C82" w14:textId="39A2E8F3" w:rsidR="00041E59" w:rsidRPr="00BA46ED" w:rsidRDefault="00041E59" w:rsidP="006C4BE6">
            <w:pPr>
              <w:pStyle w:val="TabeladesnoUMAR"/>
              <w:rPr>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AE71A" w14:textId="77777777" w:rsidR="00041E59" w:rsidRPr="00BA46ED" w:rsidRDefault="00041E59" w:rsidP="006C4BE6">
            <w:pPr>
              <w:pStyle w:val="TabeladesnoUMAR"/>
              <w:rPr>
                <w:lang w:eastAsia="sl-SI"/>
              </w:rPr>
            </w:pPr>
            <w:r w:rsidRPr="00BA46ED">
              <w:rPr>
                <w:lang w:eastAsia="sl-SI"/>
              </w:rPr>
              <w:t>414,099</w:t>
            </w:r>
          </w:p>
        </w:tc>
        <w:tc>
          <w:tcPr>
            <w:tcW w:w="515" w:type="pct"/>
            <w:tcBorders>
              <w:top w:val="single" w:sz="4" w:space="0" w:color="auto"/>
              <w:left w:val="single" w:sz="4" w:space="0" w:color="auto"/>
              <w:bottom w:val="single" w:sz="4" w:space="0" w:color="auto"/>
              <w:right w:val="nil"/>
            </w:tcBorders>
            <w:shd w:val="clear" w:color="auto" w:fill="auto"/>
            <w:noWrap/>
            <w:vAlign w:val="center"/>
            <w:hideMark/>
          </w:tcPr>
          <w:p w14:paraId="5FF09C0C" w14:textId="77777777" w:rsidR="00041E59" w:rsidRPr="00BA46ED" w:rsidRDefault="00041E59" w:rsidP="006C4BE6">
            <w:pPr>
              <w:pStyle w:val="TabeladesnoUMAR"/>
              <w:rPr>
                <w:lang w:eastAsia="sl-SI"/>
              </w:rPr>
            </w:pPr>
            <w:r w:rsidRPr="00BA46ED">
              <w:rPr>
                <w:lang w:eastAsia="sl-SI"/>
              </w:rPr>
              <w:t>369,770</w:t>
            </w:r>
          </w:p>
        </w:tc>
      </w:tr>
      <w:tr w:rsidR="00041E59" w:rsidRPr="00BA46ED" w14:paraId="1690FFB3" w14:textId="77777777" w:rsidTr="00AC6C6D">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78B68DF6" w14:textId="19E77EB0" w:rsidR="00041E59" w:rsidRPr="00BA46ED" w:rsidRDefault="00041E59" w:rsidP="009C0A9C">
            <w:pPr>
              <w:pStyle w:val="TabelalevoUMAR"/>
              <w:rPr>
                <w:lang w:eastAsia="sl-SI"/>
              </w:rPr>
            </w:pPr>
            <w:r w:rsidRPr="00BA46ED">
              <w:rPr>
                <w:lang w:eastAsia="sl-SI"/>
              </w:rPr>
              <w:t xml:space="preserve">Brez </w:t>
            </w:r>
            <w:r>
              <w:rPr>
                <w:lang w:eastAsia="sl-SI"/>
              </w:rPr>
              <w:t>s</w:t>
            </w:r>
            <w:r w:rsidRPr="00BA46ED">
              <w:rPr>
                <w:lang w:eastAsia="sl-SI"/>
              </w:rPr>
              <w:t>elitvenega prirasta</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0E711081" w14:textId="77777777" w:rsidR="00041E59" w:rsidRPr="00BA46ED" w:rsidRDefault="00041E59"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DB57" w14:textId="77777777" w:rsidR="00041E59" w:rsidRPr="00BA46ED" w:rsidRDefault="00041E59" w:rsidP="006C4BE6">
            <w:pPr>
              <w:pStyle w:val="TabeladesnoUMAR"/>
              <w:rPr>
                <w:lang w:eastAsia="sl-SI"/>
              </w:rPr>
            </w:pPr>
            <w:r w:rsidRPr="00BA46ED">
              <w:rPr>
                <w:lang w:eastAsia="sl-SI"/>
              </w:rPr>
              <w:t>1,771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54E1A" w14:textId="77777777" w:rsidR="00041E59" w:rsidRPr="00BA46ED" w:rsidRDefault="00041E59" w:rsidP="006C4BE6">
            <w:pPr>
              <w:pStyle w:val="TabeladesnoUMAR"/>
              <w:rPr>
                <w:lang w:eastAsia="sl-SI"/>
              </w:rPr>
            </w:pPr>
            <w:r w:rsidRPr="00BA46ED">
              <w:rPr>
                <w:lang w:eastAsia="sl-SI"/>
              </w:rPr>
              <w:t>1,372</w:t>
            </w:r>
          </w:p>
        </w:tc>
        <w:tc>
          <w:tcPr>
            <w:tcW w:w="516" w:type="pct"/>
            <w:vMerge/>
            <w:tcBorders>
              <w:left w:val="single" w:sz="4" w:space="0" w:color="auto"/>
              <w:bottom w:val="single" w:sz="4" w:space="0" w:color="auto"/>
              <w:right w:val="single" w:sz="4" w:space="0" w:color="auto"/>
            </w:tcBorders>
            <w:shd w:val="clear" w:color="auto" w:fill="auto"/>
            <w:noWrap/>
            <w:vAlign w:val="center"/>
            <w:hideMark/>
          </w:tcPr>
          <w:p w14:paraId="3BC22FCF" w14:textId="0CC16F46" w:rsidR="00041E59" w:rsidRPr="00BA46ED" w:rsidRDefault="00041E59" w:rsidP="006C4BE6">
            <w:pPr>
              <w:pStyle w:val="TabeladesnoUMAR"/>
              <w:rPr>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0F57D" w14:textId="77777777" w:rsidR="00041E59" w:rsidRPr="00BA46ED" w:rsidRDefault="00041E59" w:rsidP="006C4BE6">
            <w:pPr>
              <w:pStyle w:val="TabeladesnoUMAR"/>
              <w:rPr>
                <w:lang w:eastAsia="sl-SI"/>
              </w:rPr>
            </w:pPr>
            <w:r w:rsidRPr="00BA46ED">
              <w:rPr>
                <w:lang w:eastAsia="sl-SI"/>
              </w:rPr>
              <w:t>383,832</w:t>
            </w:r>
          </w:p>
        </w:tc>
        <w:tc>
          <w:tcPr>
            <w:tcW w:w="515" w:type="pct"/>
            <w:tcBorders>
              <w:top w:val="single" w:sz="4" w:space="0" w:color="auto"/>
              <w:left w:val="single" w:sz="4" w:space="0" w:color="auto"/>
              <w:bottom w:val="single" w:sz="4" w:space="0" w:color="auto"/>
              <w:right w:val="nil"/>
            </w:tcBorders>
            <w:shd w:val="clear" w:color="auto" w:fill="auto"/>
            <w:noWrap/>
            <w:vAlign w:val="center"/>
            <w:hideMark/>
          </w:tcPr>
          <w:p w14:paraId="56C6755B" w14:textId="77777777" w:rsidR="00041E59" w:rsidRPr="00BA46ED" w:rsidRDefault="00041E59" w:rsidP="006C4BE6">
            <w:pPr>
              <w:pStyle w:val="TabeladesnoUMAR"/>
              <w:rPr>
                <w:lang w:eastAsia="sl-SI"/>
              </w:rPr>
            </w:pPr>
            <w:r w:rsidRPr="00BA46ED">
              <w:rPr>
                <w:lang w:eastAsia="sl-SI"/>
              </w:rPr>
              <w:t>294,909</w:t>
            </w:r>
          </w:p>
        </w:tc>
      </w:tr>
      <w:tr w:rsidR="00684FC2" w:rsidRPr="00BA46ED" w14:paraId="5C52A1D6" w14:textId="77777777" w:rsidTr="00207307">
        <w:trPr>
          <w:trHeight w:val="264"/>
        </w:trPr>
        <w:tc>
          <w:tcPr>
            <w:tcW w:w="5000" w:type="pct"/>
            <w:gridSpan w:val="7"/>
            <w:tcBorders>
              <w:top w:val="single" w:sz="4" w:space="0" w:color="auto"/>
              <w:left w:val="nil"/>
              <w:bottom w:val="single" w:sz="4" w:space="0" w:color="auto"/>
              <w:right w:val="nil"/>
            </w:tcBorders>
            <w:shd w:val="clear" w:color="auto" w:fill="DCDCDC" w:themeFill="accent4" w:themeFillTint="33"/>
            <w:noWrap/>
            <w:vAlign w:val="center"/>
            <w:hideMark/>
          </w:tcPr>
          <w:p w14:paraId="53AE2F1F" w14:textId="23775322" w:rsidR="00684FC2" w:rsidRPr="009C0A9C" w:rsidRDefault="00684FC2" w:rsidP="009C0A9C">
            <w:pPr>
              <w:pStyle w:val="TabelaglavalevoUMAR"/>
            </w:pPr>
            <w:r w:rsidRPr="009C0A9C">
              <w:t>Koeficient starostne odvisnosti star</w:t>
            </w:r>
            <w:r w:rsidR="006017F9">
              <w:t>ejš</w:t>
            </w:r>
            <w:r w:rsidRPr="009C0A9C">
              <w:t>h (65+/20-64 *100)</w:t>
            </w:r>
          </w:p>
        </w:tc>
      </w:tr>
      <w:tr w:rsidR="00041E59" w:rsidRPr="00BA46ED" w14:paraId="19C96886" w14:textId="77777777" w:rsidTr="008B4545">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691765F5" w14:textId="77777777" w:rsidR="00041E59" w:rsidRPr="00BA46ED" w:rsidRDefault="00041E59" w:rsidP="009C0A9C">
            <w:pPr>
              <w:pStyle w:val="TabelalevoUMAR"/>
              <w:rPr>
                <w:lang w:eastAsia="sl-SI"/>
              </w:rPr>
            </w:pPr>
            <w:r w:rsidRPr="00BA46ED">
              <w:rPr>
                <w:lang w:eastAsia="sl-SI"/>
              </w:rPr>
              <w:t>Osnovni scenarij</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F5254" w14:textId="77777777" w:rsidR="00041E59" w:rsidRPr="00BA46ED" w:rsidRDefault="00041E59" w:rsidP="006C4BE6">
            <w:pPr>
              <w:pStyle w:val="TabeladesnoUMAR"/>
              <w:rPr>
                <w:lang w:eastAsia="sl-SI"/>
              </w:rPr>
            </w:pPr>
            <w:r w:rsidRPr="00BA46ED">
              <w:rPr>
                <w:lang w:eastAsia="sl-SI"/>
              </w:rPr>
              <w:t>35,6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630AF" w14:textId="77777777" w:rsidR="00041E59" w:rsidRPr="00BA46ED" w:rsidRDefault="00041E59" w:rsidP="006C4BE6">
            <w:pPr>
              <w:pStyle w:val="TabeladesnoUMAR"/>
              <w:rPr>
                <w:lang w:eastAsia="sl-SI"/>
              </w:rPr>
            </w:pPr>
            <w:r w:rsidRPr="00BA46ED">
              <w:rPr>
                <w:lang w:eastAsia="sl-SI"/>
              </w:rPr>
              <w:t>60,4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B769" w14:textId="77777777" w:rsidR="00041E59" w:rsidRPr="00BA46ED" w:rsidRDefault="00041E59" w:rsidP="006C4BE6">
            <w:pPr>
              <w:pStyle w:val="TabeladesnoUMAR"/>
              <w:rPr>
                <w:lang w:eastAsia="sl-SI"/>
              </w:rPr>
            </w:pPr>
            <w:r w:rsidRPr="00BA46ED">
              <w:rPr>
                <w:lang w:eastAsia="sl-SI"/>
              </w:rPr>
              <w:t>63,9</w:t>
            </w:r>
          </w:p>
        </w:tc>
        <w:tc>
          <w:tcPr>
            <w:tcW w:w="516" w:type="pct"/>
            <w:vMerge w:val="restart"/>
            <w:tcBorders>
              <w:top w:val="single" w:sz="4" w:space="0" w:color="auto"/>
              <w:left w:val="single" w:sz="4" w:space="0" w:color="auto"/>
              <w:right w:val="single" w:sz="4" w:space="0" w:color="auto"/>
            </w:tcBorders>
            <w:shd w:val="clear" w:color="auto" w:fill="auto"/>
            <w:noWrap/>
            <w:vAlign w:val="bottom"/>
            <w:hideMark/>
          </w:tcPr>
          <w:p w14:paraId="52F3302C" w14:textId="77777777" w:rsidR="00041E59" w:rsidRPr="00BA46ED" w:rsidRDefault="00041E59" w:rsidP="006C4BE6">
            <w:pPr>
              <w:pStyle w:val="TabeladesnoUMAR"/>
              <w:rPr>
                <w:color w:val="000000"/>
                <w:lang w:eastAsia="sl-SI"/>
              </w:rPr>
            </w:pPr>
            <w:r w:rsidRPr="00BA46ED">
              <w:rPr>
                <w:color w:val="000000"/>
                <w:lang w:eastAsia="sl-SI"/>
              </w:rPr>
              <w:t>36,0</w:t>
            </w:r>
          </w:p>
          <w:p w14:paraId="4E04637A" w14:textId="77777777" w:rsidR="00041E59" w:rsidRDefault="00041E59" w:rsidP="006C4BE6">
            <w:pPr>
              <w:pStyle w:val="TabeladesnoUMAR"/>
              <w:rPr>
                <w:color w:val="000000"/>
                <w:lang w:eastAsia="sl-SI"/>
              </w:rPr>
            </w:pPr>
          </w:p>
          <w:p w14:paraId="6F30B47D" w14:textId="77777777" w:rsidR="009A5D28" w:rsidRDefault="009A5D28" w:rsidP="006C4BE6">
            <w:pPr>
              <w:pStyle w:val="TabeladesnoUMAR"/>
              <w:rPr>
                <w:color w:val="000000"/>
                <w:lang w:eastAsia="sl-SI"/>
              </w:rPr>
            </w:pPr>
          </w:p>
          <w:p w14:paraId="44A73181" w14:textId="1B87EC83"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2ED17" w14:textId="77777777" w:rsidR="00041E59" w:rsidRPr="00BA46ED" w:rsidRDefault="00041E59" w:rsidP="006C4BE6">
            <w:pPr>
              <w:pStyle w:val="TabeladesnoUMAR"/>
              <w:rPr>
                <w:color w:val="000000"/>
                <w:lang w:eastAsia="sl-SI"/>
              </w:rPr>
            </w:pPr>
            <w:r w:rsidRPr="00BA46ED">
              <w:rPr>
                <w:color w:val="000000"/>
                <w:lang w:eastAsia="sl-SI"/>
              </w:rPr>
              <w:t>57,9</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1FEE7349" w14:textId="77777777" w:rsidR="00041E59" w:rsidRPr="00BA46ED" w:rsidRDefault="00041E59" w:rsidP="006C4BE6">
            <w:pPr>
              <w:pStyle w:val="TabeladesnoUMAR"/>
              <w:rPr>
                <w:color w:val="000000"/>
                <w:lang w:eastAsia="sl-SI"/>
              </w:rPr>
            </w:pPr>
            <w:r w:rsidRPr="00BA46ED">
              <w:rPr>
                <w:color w:val="000000"/>
                <w:lang w:eastAsia="sl-SI"/>
              </w:rPr>
              <w:t>65,3</w:t>
            </w:r>
          </w:p>
        </w:tc>
      </w:tr>
      <w:tr w:rsidR="00041E59" w:rsidRPr="00BA46ED" w14:paraId="07AB9779" w14:textId="77777777" w:rsidTr="008B4545">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5EBBAE93" w14:textId="77777777" w:rsidR="00041E59" w:rsidRPr="00BA46ED" w:rsidRDefault="00041E59" w:rsidP="009C0A9C">
            <w:pPr>
              <w:pStyle w:val="TabelalevoUMAR"/>
              <w:rPr>
                <w:lang w:eastAsia="sl-SI"/>
              </w:rPr>
            </w:pPr>
            <w:r w:rsidRPr="00BA46ED">
              <w:rPr>
                <w:lang w:eastAsia="sl-SI"/>
              </w:rPr>
              <w:t>Nižja rodnost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61252BB2" w14:textId="77777777" w:rsidR="00041E59" w:rsidRPr="00BA46ED" w:rsidRDefault="00041E59"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A33E3" w14:textId="77777777" w:rsidR="00041E59" w:rsidRPr="00BA46ED" w:rsidRDefault="00041E59" w:rsidP="006C4BE6">
            <w:pPr>
              <w:pStyle w:val="TabeladesnoUMAR"/>
              <w:rPr>
                <w:lang w:eastAsia="sl-SI"/>
              </w:rPr>
            </w:pPr>
            <w:r w:rsidRPr="00BA46ED">
              <w:rPr>
                <w:lang w:eastAsia="sl-SI"/>
              </w:rPr>
              <w:t>63,2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57EB5" w14:textId="77777777" w:rsidR="00041E59" w:rsidRPr="00BA46ED" w:rsidRDefault="00041E59" w:rsidP="006C4BE6">
            <w:pPr>
              <w:pStyle w:val="TabeladesnoUMAR"/>
              <w:rPr>
                <w:lang w:eastAsia="sl-SI"/>
              </w:rPr>
            </w:pPr>
            <w:r w:rsidRPr="00BA46ED">
              <w:rPr>
                <w:lang w:eastAsia="sl-SI"/>
              </w:rPr>
              <w:t>74,3</w:t>
            </w:r>
          </w:p>
        </w:tc>
        <w:tc>
          <w:tcPr>
            <w:tcW w:w="516" w:type="pct"/>
            <w:vMerge/>
            <w:tcBorders>
              <w:left w:val="single" w:sz="4" w:space="0" w:color="auto"/>
              <w:right w:val="single" w:sz="4" w:space="0" w:color="auto"/>
            </w:tcBorders>
            <w:shd w:val="clear" w:color="auto" w:fill="auto"/>
            <w:noWrap/>
            <w:vAlign w:val="bottom"/>
            <w:hideMark/>
          </w:tcPr>
          <w:p w14:paraId="4A8AA72A" w14:textId="5D13134E" w:rsidR="00041E59" w:rsidRPr="00BA46ED" w:rsidRDefault="00041E59"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BE60D" w14:textId="77777777" w:rsidR="00041E59" w:rsidRPr="00BA46ED" w:rsidRDefault="00041E59" w:rsidP="006C4BE6">
            <w:pPr>
              <w:pStyle w:val="TabeladesnoUMAR"/>
              <w:rPr>
                <w:color w:val="000000"/>
                <w:lang w:eastAsia="sl-SI"/>
              </w:rPr>
            </w:pPr>
            <w:r w:rsidRPr="00BA46ED">
              <w:rPr>
                <w:color w:val="000000"/>
                <w:lang w:eastAsia="sl-SI"/>
              </w:rPr>
              <w:t>60,9</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48F55ADC" w14:textId="77777777" w:rsidR="00041E59" w:rsidRPr="00BA46ED" w:rsidRDefault="00041E59" w:rsidP="006C4BE6">
            <w:pPr>
              <w:pStyle w:val="TabeladesnoUMAR"/>
              <w:rPr>
                <w:color w:val="000000"/>
                <w:lang w:eastAsia="sl-SI"/>
              </w:rPr>
            </w:pPr>
            <w:r w:rsidRPr="00BA46ED">
              <w:rPr>
                <w:color w:val="000000"/>
                <w:lang w:eastAsia="sl-SI"/>
              </w:rPr>
              <w:t>75,6</w:t>
            </w:r>
          </w:p>
        </w:tc>
      </w:tr>
      <w:tr w:rsidR="00041E59" w:rsidRPr="00BA46ED" w14:paraId="6B503EE3" w14:textId="77777777" w:rsidTr="008B4545">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5CDE9F7F" w14:textId="77777777" w:rsidR="00041E59" w:rsidRPr="00BA46ED" w:rsidRDefault="00041E59" w:rsidP="009C0A9C">
            <w:pPr>
              <w:pStyle w:val="TabelalevoUMAR"/>
              <w:rPr>
                <w:lang w:eastAsia="sl-SI"/>
              </w:rPr>
            </w:pPr>
            <w:r w:rsidRPr="00BA46ED">
              <w:rPr>
                <w:lang w:eastAsia="sl-SI"/>
              </w:rPr>
              <w:t>Nižja umrljivost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6399C139" w14:textId="77777777" w:rsidR="00041E59" w:rsidRPr="00BA46ED" w:rsidRDefault="00041E59"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68BBD" w14:textId="77777777" w:rsidR="00041E59" w:rsidRPr="00BA46ED" w:rsidRDefault="00041E59" w:rsidP="006C4BE6">
            <w:pPr>
              <w:pStyle w:val="TabeladesnoUMAR"/>
              <w:rPr>
                <w:lang w:eastAsia="sl-SI"/>
              </w:rPr>
            </w:pPr>
            <w:r w:rsidRPr="00BA46ED">
              <w:rPr>
                <w:lang w:eastAsia="sl-SI"/>
              </w:rPr>
              <w:t>63,5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97F1" w14:textId="77777777" w:rsidR="00041E59" w:rsidRPr="00BA46ED" w:rsidRDefault="00041E59" w:rsidP="006C4BE6">
            <w:pPr>
              <w:pStyle w:val="TabeladesnoUMAR"/>
              <w:rPr>
                <w:lang w:eastAsia="sl-SI"/>
              </w:rPr>
            </w:pPr>
            <w:r w:rsidRPr="00BA46ED">
              <w:rPr>
                <w:lang w:eastAsia="sl-SI"/>
              </w:rPr>
              <w:t>68,4</w:t>
            </w:r>
          </w:p>
        </w:tc>
        <w:tc>
          <w:tcPr>
            <w:tcW w:w="516" w:type="pct"/>
            <w:vMerge/>
            <w:tcBorders>
              <w:left w:val="single" w:sz="4" w:space="0" w:color="auto"/>
              <w:right w:val="single" w:sz="4" w:space="0" w:color="auto"/>
            </w:tcBorders>
            <w:shd w:val="clear" w:color="auto" w:fill="auto"/>
            <w:noWrap/>
            <w:vAlign w:val="bottom"/>
            <w:hideMark/>
          </w:tcPr>
          <w:p w14:paraId="5E80E0ED" w14:textId="1223CE37" w:rsidR="00041E59" w:rsidRPr="00BA46ED" w:rsidRDefault="00041E59"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1BEEA" w14:textId="77777777" w:rsidR="00041E59" w:rsidRPr="00BA46ED" w:rsidRDefault="00041E59" w:rsidP="006C4BE6">
            <w:pPr>
              <w:pStyle w:val="TabeladesnoUMAR"/>
              <w:rPr>
                <w:color w:val="000000"/>
                <w:lang w:eastAsia="sl-SI"/>
              </w:rPr>
            </w:pPr>
            <w:r w:rsidRPr="00BA46ED">
              <w:rPr>
                <w:color w:val="000000"/>
                <w:lang w:eastAsia="sl-SI"/>
              </w:rPr>
              <w:t>60,8</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2245D02E" w14:textId="77777777" w:rsidR="00041E59" w:rsidRPr="00BA46ED" w:rsidRDefault="00041E59" w:rsidP="006C4BE6">
            <w:pPr>
              <w:pStyle w:val="TabeladesnoUMAR"/>
              <w:rPr>
                <w:color w:val="000000"/>
                <w:lang w:eastAsia="sl-SI"/>
              </w:rPr>
            </w:pPr>
            <w:r w:rsidRPr="00BA46ED">
              <w:rPr>
                <w:color w:val="000000"/>
                <w:lang w:eastAsia="sl-SI"/>
              </w:rPr>
              <w:t>69,9</w:t>
            </w:r>
          </w:p>
        </w:tc>
      </w:tr>
      <w:tr w:rsidR="00041E59" w:rsidRPr="00BA46ED" w14:paraId="1D35FEF8" w14:textId="77777777" w:rsidTr="008B4545">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008983EE" w14:textId="77777777" w:rsidR="00041E59" w:rsidRPr="00BA46ED" w:rsidRDefault="00041E59" w:rsidP="009C0A9C">
            <w:pPr>
              <w:pStyle w:val="TabelalevoUMAR"/>
              <w:rPr>
                <w:lang w:eastAsia="sl-SI"/>
              </w:rPr>
            </w:pPr>
            <w:r w:rsidRPr="00BA46ED">
              <w:rPr>
                <w:lang w:eastAsia="sl-SI"/>
              </w:rPr>
              <w:t>Višji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3696DF82" w14:textId="77777777" w:rsidR="00041E59" w:rsidRPr="00BA46ED" w:rsidRDefault="00041E59"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951D9" w14:textId="77777777" w:rsidR="00041E59" w:rsidRPr="00BA46ED" w:rsidRDefault="00041E59" w:rsidP="006C4BE6">
            <w:pPr>
              <w:pStyle w:val="TabeladesnoUMAR"/>
              <w:rPr>
                <w:lang w:eastAsia="sl-SI"/>
              </w:rPr>
            </w:pPr>
            <w:r w:rsidRPr="00BA46ED">
              <w:rPr>
                <w:lang w:eastAsia="sl-SI"/>
              </w:rPr>
              <w:t>55,8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CC0B" w14:textId="77777777" w:rsidR="00041E59" w:rsidRPr="00BA46ED" w:rsidRDefault="00041E59" w:rsidP="006C4BE6">
            <w:pPr>
              <w:pStyle w:val="TabeladesnoUMAR"/>
              <w:rPr>
                <w:lang w:eastAsia="sl-SI"/>
              </w:rPr>
            </w:pPr>
            <w:r w:rsidRPr="00BA46ED">
              <w:rPr>
                <w:lang w:eastAsia="sl-SI"/>
              </w:rPr>
              <w:t>62,2</w:t>
            </w:r>
          </w:p>
        </w:tc>
        <w:tc>
          <w:tcPr>
            <w:tcW w:w="516" w:type="pct"/>
            <w:vMerge/>
            <w:tcBorders>
              <w:left w:val="single" w:sz="4" w:space="0" w:color="auto"/>
              <w:right w:val="single" w:sz="4" w:space="0" w:color="auto"/>
            </w:tcBorders>
            <w:shd w:val="clear" w:color="auto" w:fill="auto"/>
            <w:noWrap/>
            <w:vAlign w:val="bottom"/>
            <w:hideMark/>
          </w:tcPr>
          <w:p w14:paraId="4AC1B682" w14:textId="6D2F959B" w:rsidR="00041E59" w:rsidRPr="00BA46ED" w:rsidRDefault="00041E59"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38461" w14:textId="77777777" w:rsidR="00041E59" w:rsidRPr="00BA46ED" w:rsidRDefault="00041E59" w:rsidP="006C4BE6">
            <w:pPr>
              <w:pStyle w:val="TabeladesnoUMAR"/>
              <w:rPr>
                <w:color w:val="000000"/>
                <w:lang w:eastAsia="sl-SI"/>
              </w:rPr>
            </w:pPr>
            <w:r w:rsidRPr="00BA46ED">
              <w:rPr>
                <w:color w:val="000000"/>
                <w:lang w:eastAsia="sl-SI"/>
              </w:rPr>
              <w:t>55,0</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447A26F9" w14:textId="77777777" w:rsidR="00041E59" w:rsidRPr="00BA46ED" w:rsidRDefault="00041E59" w:rsidP="006C4BE6">
            <w:pPr>
              <w:pStyle w:val="TabeladesnoUMAR"/>
              <w:rPr>
                <w:color w:val="000000"/>
                <w:lang w:eastAsia="sl-SI"/>
              </w:rPr>
            </w:pPr>
            <w:r w:rsidRPr="00BA46ED">
              <w:rPr>
                <w:color w:val="000000"/>
                <w:lang w:eastAsia="sl-SI"/>
              </w:rPr>
              <w:t>63,3</w:t>
            </w:r>
          </w:p>
        </w:tc>
      </w:tr>
      <w:tr w:rsidR="00041E59" w:rsidRPr="00BA46ED" w14:paraId="5533F03A" w14:textId="77777777" w:rsidTr="008B4545">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3B8321C6" w14:textId="77777777" w:rsidR="00041E59" w:rsidRPr="00BA46ED" w:rsidRDefault="00041E59" w:rsidP="009C0A9C">
            <w:pPr>
              <w:pStyle w:val="TabelalevoUMAR"/>
              <w:rPr>
                <w:lang w:eastAsia="sl-SI"/>
              </w:rPr>
            </w:pPr>
            <w:r w:rsidRPr="00BA46ED">
              <w:rPr>
                <w:lang w:eastAsia="sl-SI"/>
              </w:rPr>
              <w:t>Nižji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30B36CD1" w14:textId="77777777" w:rsidR="00041E59" w:rsidRPr="00BA46ED" w:rsidRDefault="00041E59"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5721" w14:textId="77777777" w:rsidR="00041E59" w:rsidRPr="00BA46ED" w:rsidRDefault="00041E59" w:rsidP="006C4BE6">
            <w:pPr>
              <w:pStyle w:val="TabeladesnoUMAR"/>
              <w:rPr>
                <w:lang w:eastAsia="sl-SI"/>
              </w:rPr>
            </w:pPr>
            <w:r w:rsidRPr="00BA46ED">
              <w:rPr>
                <w:lang w:eastAsia="sl-SI"/>
              </w:rPr>
              <w:t>66,2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7896" w14:textId="77777777" w:rsidR="00041E59" w:rsidRPr="00BA46ED" w:rsidRDefault="00041E59" w:rsidP="006C4BE6">
            <w:pPr>
              <w:pStyle w:val="TabeladesnoUMAR"/>
              <w:rPr>
                <w:lang w:eastAsia="sl-SI"/>
              </w:rPr>
            </w:pPr>
            <w:r w:rsidRPr="00BA46ED">
              <w:rPr>
                <w:lang w:eastAsia="sl-SI"/>
              </w:rPr>
              <w:t>66,4</w:t>
            </w:r>
          </w:p>
        </w:tc>
        <w:tc>
          <w:tcPr>
            <w:tcW w:w="516" w:type="pct"/>
            <w:vMerge/>
            <w:tcBorders>
              <w:left w:val="single" w:sz="4" w:space="0" w:color="auto"/>
              <w:right w:val="single" w:sz="4" w:space="0" w:color="auto"/>
            </w:tcBorders>
            <w:shd w:val="clear" w:color="auto" w:fill="auto"/>
            <w:noWrap/>
            <w:vAlign w:val="bottom"/>
            <w:hideMark/>
          </w:tcPr>
          <w:p w14:paraId="45DFE60A" w14:textId="5078D4C9" w:rsidR="00041E59" w:rsidRPr="00BA46ED" w:rsidRDefault="00041E59"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8D56A" w14:textId="77777777" w:rsidR="00041E59" w:rsidRPr="00BA46ED" w:rsidRDefault="00041E59" w:rsidP="006C4BE6">
            <w:pPr>
              <w:pStyle w:val="TabeladesnoUMAR"/>
              <w:rPr>
                <w:color w:val="000000"/>
                <w:lang w:eastAsia="sl-SI"/>
              </w:rPr>
            </w:pPr>
            <w:r w:rsidRPr="00BA46ED">
              <w:rPr>
                <w:color w:val="000000"/>
                <w:lang w:eastAsia="sl-SI"/>
              </w:rPr>
              <w:t>61,3</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51701DCC" w14:textId="77777777" w:rsidR="00041E59" w:rsidRPr="00BA46ED" w:rsidRDefault="00041E59" w:rsidP="006C4BE6">
            <w:pPr>
              <w:pStyle w:val="TabeladesnoUMAR"/>
              <w:rPr>
                <w:color w:val="000000"/>
                <w:lang w:eastAsia="sl-SI"/>
              </w:rPr>
            </w:pPr>
            <w:r w:rsidRPr="00BA46ED">
              <w:rPr>
                <w:color w:val="000000"/>
                <w:lang w:eastAsia="sl-SI"/>
              </w:rPr>
              <w:t>67,8</w:t>
            </w:r>
          </w:p>
        </w:tc>
      </w:tr>
      <w:tr w:rsidR="00041E59" w:rsidRPr="00BA46ED" w14:paraId="77A4235A" w14:textId="77777777" w:rsidTr="008B4545">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4493C819" w14:textId="751AA2E1" w:rsidR="00041E59" w:rsidRPr="00BA46ED" w:rsidRDefault="00041E59" w:rsidP="009C0A9C">
            <w:pPr>
              <w:pStyle w:val="TabelalevoUMAR"/>
              <w:rPr>
                <w:lang w:eastAsia="sl-SI"/>
              </w:rPr>
            </w:pPr>
            <w:r w:rsidRPr="00BA46ED">
              <w:rPr>
                <w:lang w:eastAsia="sl-SI"/>
              </w:rPr>
              <w:t xml:space="preserve">Brez </w:t>
            </w:r>
            <w:r>
              <w:rPr>
                <w:lang w:eastAsia="sl-SI"/>
              </w:rPr>
              <w:t>s</w:t>
            </w:r>
            <w:r w:rsidRPr="00BA46ED">
              <w:rPr>
                <w:lang w:eastAsia="sl-SI"/>
              </w:rPr>
              <w:t>elitvenega prirasta</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7470378D" w14:textId="77777777" w:rsidR="00041E59" w:rsidRPr="00BA46ED" w:rsidRDefault="00041E59"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01F93" w14:textId="77777777" w:rsidR="00041E59" w:rsidRPr="00BA46ED" w:rsidRDefault="00041E59" w:rsidP="006C4BE6">
            <w:pPr>
              <w:pStyle w:val="TabeladesnoUMAR"/>
              <w:rPr>
                <w:lang w:eastAsia="sl-SI"/>
              </w:rPr>
            </w:pPr>
            <w:r w:rsidRPr="00BA46ED">
              <w:rPr>
                <w:lang w:eastAsia="sl-SI"/>
              </w:rPr>
              <w:t>71,5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80DE9" w14:textId="77777777" w:rsidR="00041E59" w:rsidRPr="00BA46ED" w:rsidRDefault="00041E59" w:rsidP="006C4BE6">
            <w:pPr>
              <w:pStyle w:val="TabeladesnoUMAR"/>
              <w:rPr>
                <w:lang w:eastAsia="sl-SI"/>
              </w:rPr>
            </w:pPr>
            <w:r w:rsidRPr="00BA46ED">
              <w:rPr>
                <w:lang w:eastAsia="sl-SI"/>
              </w:rPr>
              <w:t>72,1</w:t>
            </w:r>
          </w:p>
        </w:tc>
        <w:tc>
          <w:tcPr>
            <w:tcW w:w="516" w:type="pct"/>
            <w:vMerge/>
            <w:tcBorders>
              <w:left w:val="single" w:sz="4" w:space="0" w:color="auto"/>
              <w:bottom w:val="single" w:sz="4" w:space="0" w:color="auto"/>
              <w:right w:val="single" w:sz="4" w:space="0" w:color="auto"/>
            </w:tcBorders>
            <w:shd w:val="clear" w:color="auto" w:fill="auto"/>
            <w:noWrap/>
            <w:vAlign w:val="bottom"/>
            <w:hideMark/>
          </w:tcPr>
          <w:p w14:paraId="455A96BC" w14:textId="209C7D3A" w:rsidR="00041E59" w:rsidRPr="00BA46ED" w:rsidRDefault="00041E59"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8423" w14:textId="77777777" w:rsidR="00041E59" w:rsidRPr="00BA46ED" w:rsidRDefault="00041E59" w:rsidP="006C4BE6">
            <w:pPr>
              <w:pStyle w:val="TabeladesnoUMAR"/>
              <w:rPr>
                <w:color w:val="000000"/>
                <w:lang w:eastAsia="sl-SI"/>
              </w:rPr>
            </w:pPr>
            <w:r w:rsidRPr="00BA46ED">
              <w:rPr>
                <w:color w:val="000000"/>
                <w:lang w:eastAsia="sl-SI"/>
              </w:rPr>
              <w:t>66,8</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4EBB0463" w14:textId="77777777" w:rsidR="00041E59" w:rsidRPr="00BA46ED" w:rsidRDefault="00041E59" w:rsidP="006C4BE6">
            <w:pPr>
              <w:pStyle w:val="TabeladesnoUMAR"/>
              <w:rPr>
                <w:color w:val="000000"/>
                <w:lang w:eastAsia="sl-SI"/>
              </w:rPr>
            </w:pPr>
            <w:r w:rsidRPr="00BA46ED">
              <w:rPr>
                <w:color w:val="000000"/>
                <w:lang w:eastAsia="sl-SI"/>
              </w:rPr>
              <w:t>75,8</w:t>
            </w:r>
          </w:p>
        </w:tc>
      </w:tr>
      <w:tr w:rsidR="00684FC2" w:rsidRPr="00BA46ED" w14:paraId="1B2F4446" w14:textId="77777777" w:rsidTr="00207307">
        <w:trPr>
          <w:trHeight w:val="264"/>
        </w:trPr>
        <w:tc>
          <w:tcPr>
            <w:tcW w:w="5000" w:type="pct"/>
            <w:gridSpan w:val="7"/>
            <w:tcBorders>
              <w:top w:val="single" w:sz="4" w:space="0" w:color="auto"/>
              <w:left w:val="nil"/>
              <w:bottom w:val="single" w:sz="4" w:space="0" w:color="auto"/>
              <w:right w:val="nil"/>
            </w:tcBorders>
            <w:shd w:val="clear" w:color="auto" w:fill="DCDCDC" w:themeFill="accent4" w:themeFillTint="33"/>
            <w:noWrap/>
            <w:vAlign w:val="center"/>
            <w:hideMark/>
          </w:tcPr>
          <w:p w14:paraId="6EED2848" w14:textId="77777777" w:rsidR="00684FC2" w:rsidRPr="00BA46ED" w:rsidRDefault="00684FC2" w:rsidP="009C0A9C">
            <w:pPr>
              <w:pStyle w:val="TabelaglavalevoUMAR"/>
              <w:rPr>
                <w:lang w:eastAsia="sl-SI"/>
              </w:rPr>
            </w:pPr>
            <w:r w:rsidRPr="00BA46ED">
              <w:rPr>
                <w:lang w:eastAsia="sl-SI"/>
              </w:rPr>
              <w:t>Delež prebivalcev starih 0–19 let</w:t>
            </w:r>
          </w:p>
        </w:tc>
      </w:tr>
      <w:tr w:rsidR="009A5D28" w:rsidRPr="00BA46ED" w14:paraId="31EAA107" w14:textId="77777777" w:rsidTr="0086117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7F5AFD7A" w14:textId="77777777" w:rsidR="009A5D28" w:rsidRPr="00BA46ED" w:rsidRDefault="009A5D28" w:rsidP="009C0A9C">
            <w:pPr>
              <w:pStyle w:val="TabelalevoUMAR"/>
              <w:rPr>
                <w:lang w:eastAsia="sl-SI"/>
              </w:rPr>
            </w:pPr>
            <w:r w:rsidRPr="00BA46ED">
              <w:rPr>
                <w:lang w:eastAsia="sl-SI"/>
              </w:rPr>
              <w:t>Osnovni scenarij</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3F88" w14:textId="77777777" w:rsidR="009A5D28" w:rsidRPr="00BA46ED" w:rsidRDefault="009A5D28" w:rsidP="006C4BE6">
            <w:pPr>
              <w:pStyle w:val="TabeladesnoUMAR"/>
              <w:rPr>
                <w:lang w:eastAsia="sl-SI"/>
              </w:rPr>
            </w:pPr>
            <w:r w:rsidRPr="00BA46ED">
              <w:rPr>
                <w:lang w:eastAsia="sl-SI"/>
              </w:rPr>
              <w:t>19,6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13B52" w14:textId="77777777" w:rsidR="009A5D28" w:rsidRPr="00BA46ED" w:rsidRDefault="009A5D28" w:rsidP="006C4BE6">
            <w:pPr>
              <w:pStyle w:val="TabeladesnoUMAR"/>
              <w:rPr>
                <w:lang w:eastAsia="sl-SI"/>
              </w:rPr>
            </w:pPr>
            <w:r w:rsidRPr="00BA46ED">
              <w:rPr>
                <w:lang w:eastAsia="sl-SI"/>
              </w:rPr>
              <w:t>18,0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D7662" w14:textId="77777777" w:rsidR="009A5D28" w:rsidRPr="00BA46ED" w:rsidRDefault="009A5D28" w:rsidP="006C4BE6">
            <w:pPr>
              <w:pStyle w:val="TabeladesnoUMAR"/>
              <w:rPr>
                <w:lang w:eastAsia="sl-SI"/>
              </w:rPr>
            </w:pPr>
            <w:r w:rsidRPr="00BA46ED">
              <w:rPr>
                <w:lang w:eastAsia="sl-SI"/>
              </w:rPr>
              <w:t>17,7</w:t>
            </w:r>
          </w:p>
        </w:tc>
        <w:tc>
          <w:tcPr>
            <w:tcW w:w="516" w:type="pct"/>
            <w:vMerge w:val="restart"/>
            <w:tcBorders>
              <w:top w:val="single" w:sz="4" w:space="0" w:color="auto"/>
              <w:left w:val="single" w:sz="4" w:space="0" w:color="auto"/>
              <w:right w:val="single" w:sz="4" w:space="0" w:color="auto"/>
            </w:tcBorders>
            <w:shd w:val="clear" w:color="auto" w:fill="auto"/>
            <w:noWrap/>
            <w:vAlign w:val="bottom"/>
            <w:hideMark/>
          </w:tcPr>
          <w:p w14:paraId="03C211D3" w14:textId="77777777" w:rsidR="009A5D28" w:rsidRDefault="009A5D28" w:rsidP="006C4BE6">
            <w:pPr>
              <w:pStyle w:val="TabeladesnoUMAR"/>
              <w:rPr>
                <w:color w:val="000000"/>
                <w:lang w:eastAsia="sl-SI"/>
              </w:rPr>
            </w:pPr>
            <w:r w:rsidRPr="00BA46ED">
              <w:rPr>
                <w:color w:val="000000"/>
                <w:lang w:eastAsia="sl-SI"/>
              </w:rPr>
              <w:t>20,2</w:t>
            </w:r>
          </w:p>
          <w:p w14:paraId="7907325A" w14:textId="77777777" w:rsidR="009A5D28" w:rsidRDefault="009A5D28" w:rsidP="006C4BE6">
            <w:pPr>
              <w:pStyle w:val="TabeladesnoUMAR"/>
              <w:rPr>
                <w:color w:val="000000"/>
                <w:lang w:eastAsia="sl-SI"/>
              </w:rPr>
            </w:pPr>
          </w:p>
          <w:p w14:paraId="077BAF3C" w14:textId="77777777" w:rsidR="009A5D28" w:rsidRDefault="009A5D28" w:rsidP="006C4BE6">
            <w:pPr>
              <w:pStyle w:val="TabeladesnoUMAR"/>
              <w:rPr>
                <w:color w:val="000000"/>
                <w:lang w:eastAsia="sl-SI"/>
              </w:rPr>
            </w:pPr>
          </w:p>
          <w:p w14:paraId="57434CEA" w14:textId="2E54BBF4"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A9981" w14:textId="77777777" w:rsidR="009A5D28" w:rsidRPr="00BA46ED" w:rsidRDefault="009A5D28" w:rsidP="006C4BE6">
            <w:pPr>
              <w:pStyle w:val="TabeladesnoUMAR"/>
              <w:rPr>
                <w:color w:val="000000"/>
                <w:lang w:eastAsia="sl-SI"/>
              </w:rPr>
            </w:pPr>
            <w:r w:rsidRPr="00BA46ED">
              <w:rPr>
                <w:color w:val="000000"/>
                <w:lang w:eastAsia="sl-SI"/>
              </w:rPr>
              <w:t>18,2</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020FC44E" w14:textId="77777777" w:rsidR="009A5D28" w:rsidRPr="00BA46ED" w:rsidRDefault="009A5D28" w:rsidP="006C4BE6">
            <w:pPr>
              <w:pStyle w:val="TabeladesnoUMAR"/>
              <w:rPr>
                <w:color w:val="000000"/>
                <w:lang w:eastAsia="sl-SI"/>
              </w:rPr>
            </w:pPr>
            <w:r w:rsidRPr="00BA46ED">
              <w:rPr>
                <w:color w:val="000000"/>
                <w:lang w:eastAsia="sl-SI"/>
              </w:rPr>
              <w:t>17,8</w:t>
            </w:r>
          </w:p>
        </w:tc>
      </w:tr>
      <w:tr w:rsidR="009A5D28" w:rsidRPr="00BA46ED" w14:paraId="088096CB" w14:textId="77777777" w:rsidTr="0086117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11306855" w14:textId="77777777" w:rsidR="009A5D28" w:rsidRPr="00BA46ED" w:rsidRDefault="009A5D28" w:rsidP="009C0A9C">
            <w:pPr>
              <w:pStyle w:val="TabelalevoUMAR"/>
              <w:rPr>
                <w:lang w:eastAsia="sl-SI"/>
              </w:rPr>
            </w:pPr>
            <w:r w:rsidRPr="00BA46ED">
              <w:rPr>
                <w:lang w:eastAsia="sl-SI"/>
              </w:rPr>
              <w:t>Nižja rodnost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091F46BF"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9B3E7" w14:textId="77777777" w:rsidR="009A5D28" w:rsidRPr="00BA46ED" w:rsidRDefault="009A5D28" w:rsidP="006C4BE6">
            <w:pPr>
              <w:pStyle w:val="TabeladesnoUMAR"/>
              <w:rPr>
                <w:lang w:eastAsia="sl-SI"/>
              </w:rPr>
            </w:pPr>
            <w:r w:rsidRPr="00BA46ED">
              <w:rPr>
                <w:lang w:eastAsia="sl-SI"/>
              </w:rPr>
              <w:t>14,9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76655" w14:textId="77777777" w:rsidR="009A5D28" w:rsidRPr="00BA46ED" w:rsidRDefault="009A5D28" w:rsidP="006C4BE6">
            <w:pPr>
              <w:pStyle w:val="TabeladesnoUMAR"/>
              <w:rPr>
                <w:lang w:eastAsia="sl-SI"/>
              </w:rPr>
            </w:pPr>
            <w:r w:rsidRPr="00BA46ED">
              <w:rPr>
                <w:lang w:eastAsia="sl-SI"/>
              </w:rPr>
              <w:t>13,8</w:t>
            </w:r>
          </w:p>
        </w:tc>
        <w:tc>
          <w:tcPr>
            <w:tcW w:w="516" w:type="pct"/>
            <w:vMerge/>
            <w:tcBorders>
              <w:left w:val="single" w:sz="4" w:space="0" w:color="auto"/>
              <w:right w:val="single" w:sz="4" w:space="0" w:color="auto"/>
            </w:tcBorders>
            <w:shd w:val="clear" w:color="auto" w:fill="auto"/>
            <w:noWrap/>
            <w:vAlign w:val="bottom"/>
            <w:hideMark/>
          </w:tcPr>
          <w:p w14:paraId="180D9450" w14:textId="4663CD03"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F74D6" w14:textId="77777777" w:rsidR="009A5D28" w:rsidRPr="00BA46ED" w:rsidRDefault="009A5D28" w:rsidP="006C4BE6">
            <w:pPr>
              <w:pStyle w:val="TabeladesnoUMAR"/>
              <w:rPr>
                <w:color w:val="000000"/>
                <w:lang w:eastAsia="sl-SI"/>
              </w:rPr>
            </w:pPr>
            <w:r w:rsidRPr="00BA46ED">
              <w:rPr>
                <w:color w:val="000000"/>
                <w:lang w:eastAsia="sl-SI"/>
              </w:rPr>
              <w:t>15,2</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72322349" w14:textId="77777777" w:rsidR="009A5D28" w:rsidRPr="00BA46ED" w:rsidRDefault="009A5D28" w:rsidP="006C4BE6">
            <w:pPr>
              <w:pStyle w:val="TabeladesnoUMAR"/>
              <w:rPr>
                <w:color w:val="000000"/>
                <w:lang w:eastAsia="sl-SI"/>
              </w:rPr>
            </w:pPr>
            <w:r w:rsidRPr="00BA46ED">
              <w:rPr>
                <w:color w:val="000000"/>
                <w:lang w:eastAsia="sl-SI"/>
              </w:rPr>
              <w:t>14,1</w:t>
            </w:r>
          </w:p>
        </w:tc>
      </w:tr>
      <w:tr w:rsidR="009A5D28" w:rsidRPr="00BA46ED" w14:paraId="5A6EC6CA" w14:textId="77777777" w:rsidTr="0086117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4825932E" w14:textId="77777777" w:rsidR="009A5D28" w:rsidRPr="00BA46ED" w:rsidRDefault="009A5D28" w:rsidP="009C0A9C">
            <w:pPr>
              <w:pStyle w:val="TabelalevoUMAR"/>
              <w:rPr>
                <w:lang w:eastAsia="sl-SI"/>
              </w:rPr>
            </w:pPr>
            <w:r w:rsidRPr="00BA46ED">
              <w:rPr>
                <w:lang w:eastAsia="sl-SI"/>
              </w:rPr>
              <w:t>Nižja umrljivost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648C36B5"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A647" w14:textId="77777777" w:rsidR="009A5D28" w:rsidRPr="00BA46ED" w:rsidRDefault="009A5D28" w:rsidP="006C4BE6">
            <w:pPr>
              <w:pStyle w:val="TabeladesnoUMAR"/>
              <w:rPr>
                <w:lang w:eastAsia="sl-SI"/>
              </w:rPr>
            </w:pPr>
            <w:r w:rsidRPr="00BA46ED">
              <w:rPr>
                <w:lang w:eastAsia="sl-SI"/>
              </w:rPr>
              <w:t>17,7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6DA8B" w14:textId="77777777" w:rsidR="009A5D28" w:rsidRPr="00BA46ED" w:rsidRDefault="009A5D28" w:rsidP="006C4BE6">
            <w:pPr>
              <w:pStyle w:val="TabeladesnoUMAR"/>
              <w:rPr>
                <w:lang w:eastAsia="sl-SI"/>
              </w:rPr>
            </w:pPr>
            <w:r w:rsidRPr="00BA46ED">
              <w:rPr>
                <w:lang w:eastAsia="sl-SI"/>
              </w:rPr>
              <w:t>17,2</w:t>
            </w:r>
          </w:p>
        </w:tc>
        <w:tc>
          <w:tcPr>
            <w:tcW w:w="516" w:type="pct"/>
            <w:vMerge/>
            <w:tcBorders>
              <w:left w:val="single" w:sz="4" w:space="0" w:color="auto"/>
              <w:right w:val="single" w:sz="4" w:space="0" w:color="auto"/>
            </w:tcBorders>
            <w:shd w:val="clear" w:color="auto" w:fill="auto"/>
            <w:noWrap/>
            <w:vAlign w:val="bottom"/>
            <w:hideMark/>
          </w:tcPr>
          <w:p w14:paraId="4CBADDF0" w14:textId="1E544D8B"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1190E" w14:textId="77777777" w:rsidR="009A5D28" w:rsidRPr="00BA46ED" w:rsidRDefault="009A5D28" w:rsidP="006C4BE6">
            <w:pPr>
              <w:pStyle w:val="TabeladesnoUMAR"/>
              <w:rPr>
                <w:color w:val="000000"/>
                <w:lang w:eastAsia="sl-SI"/>
              </w:rPr>
            </w:pPr>
            <w:r w:rsidRPr="00BA46ED">
              <w:rPr>
                <w:color w:val="000000"/>
                <w:lang w:eastAsia="sl-SI"/>
              </w:rPr>
              <w:t>17,9</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518AF1E5" w14:textId="77777777" w:rsidR="009A5D28" w:rsidRPr="00BA46ED" w:rsidRDefault="009A5D28" w:rsidP="006C4BE6">
            <w:pPr>
              <w:pStyle w:val="TabeladesnoUMAR"/>
              <w:rPr>
                <w:color w:val="000000"/>
                <w:lang w:eastAsia="sl-SI"/>
              </w:rPr>
            </w:pPr>
            <w:r w:rsidRPr="00BA46ED">
              <w:rPr>
                <w:color w:val="000000"/>
                <w:lang w:eastAsia="sl-SI"/>
              </w:rPr>
              <w:t>17,4</w:t>
            </w:r>
          </w:p>
        </w:tc>
      </w:tr>
      <w:tr w:rsidR="009A5D28" w:rsidRPr="00BA46ED" w14:paraId="6B3817A0" w14:textId="77777777" w:rsidTr="0086117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66CD2319" w14:textId="77777777" w:rsidR="009A5D28" w:rsidRPr="00BA46ED" w:rsidRDefault="009A5D28" w:rsidP="009C0A9C">
            <w:pPr>
              <w:pStyle w:val="TabelalevoUMAR"/>
              <w:rPr>
                <w:lang w:eastAsia="sl-SI"/>
              </w:rPr>
            </w:pPr>
            <w:r w:rsidRPr="00BA46ED">
              <w:rPr>
                <w:lang w:eastAsia="sl-SI"/>
              </w:rPr>
              <w:t>Višji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66C86F9D"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CBB4" w14:textId="77777777" w:rsidR="009A5D28" w:rsidRPr="00BA46ED" w:rsidRDefault="009A5D28" w:rsidP="006C4BE6">
            <w:pPr>
              <w:pStyle w:val="TabeladesnoUMAR"/>
              <w:rPr>
                <w:lang w:eastAsia="sl-SI"/>
              </w:rPr>
            </w:pPr>
            <w:r w:rsidRPr="00BA46ED">
              <w:rPr>
                <w:lang w:eastAsia="sl-SI"/>
              </w:rPr>
              <w:t>18,1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980EB" w14:textId="77777777" w:rsidR="009A5D28" w:rsidRPr="00BA46ED" w:rsidRDefault="009A5D28" w:rsidP="006C4BE6">
            <w:pPr>
              <w:pStyle w:val="TabeladesnoUMAR"/>
              <w:rPr>
                <w:lang w:eastAsia="sl-SI"/>
              </w:rPr>
            </w:pPr>
            <w:r w:rsidRPr="00BA46ED">
              <w:rPr>
                <w:lang w:eastAsia="sl-SI"/>
              </w:rPr>
              <w:t>17,8</w:t>
            </w:r>
          </w:p>
        </w:tc>
        <w:tc>
          <w:tcPr>
            <w:tcW w:w="516" w:type="pct"/>
            <w:vMerge/>
            <w:tcBorders>
              <w:left w:val="single" w:sz="4" w:space="0" w:color="auto"/>
              <w:right w:val="single" w:sz="4" w:space="0" w:color="auto"/>
            </w:tcBorders>
            <w:shd w:val="clear" w:color="auto" w:fill="auto"/>
            <w:noWrap/>
            <w:vAlign w:val="bottom"/>
            <w:hideMark/>
          </w:tcPr>
          <w:p w14:paraId="3923B0FB" w14:textId="4BB20932"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95F75" w14:textId="77777777" w:rsidR="009A5D28" w:rsidRPr="00BA46ED" w:rsidRDefault="009A5D28" w:rsidP="006C4BE6">
            <w:pPr>
              <w:pStyle w:val="TabeladesnoUMAR"/>
              <w:rPr>
                <w:color w:val="000000"/>
                <w:lang w:eastAsia="sl-SI"/>
              </w:rPr>
            </w:pPr>
            <w:r w:rsidRPr="00BA46ED">
              <w:rPr>
                <w:color w:val="000000"/>
                <w:lang w:eastAsia="sl-SI"/>
              </w:rPr>
              <w:t>18,4</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7EDFCFE9" w14:textId="77777777" w:rsidR="009A5D28" w:rsidRPr="00BA46ED" w:rsidRDefault="009A5D28" w:rsidP="006C4BE6">
            <w:pPr>
              <w:pStyle w:val="TabeladesnoUMAR"/>
              <w:rPr>
                <w:color w:val="000000"/>
                <w:lang w:eastAsia="sl-SI"/>
              </w:rPr>
            </w:pPr>
            <w:r w:rsidRPr="00BA46ED">
              <w:rPr>
                <w:color w:val="000000"/>
                <w:lang w:eastAsia="sl-SI"/>
              </w:rPr>
              <w:t>18,0</w:t>
            </w:r>
          </w:p>
        </w:tc>
      </w:tr>
      <w:tr w:rsidR="009A5D28" w:rsidRPr="00BA46ED" w14:paraId="75383108" w14:textId="77777777" w:rsidTr="0086117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61EF4A3C" w14:textId="77777777" w:rsidR="009A5D28" w:rsidRPr="00BA46ED" w:rsidRDefault="009A5D28" w:rsidP="009C0A9C">
            <w:pPr>
              <w:pStyle w:val="TabelalevoUMAR"/>
              <w:rPr>
                <w:lang w:eastAsia="sl-SI"/>
              </w:rPr>
            </w:pPr>
            <w:r w:rsidRPr="00BA46ED">
              <w:rPr>
                <w:lang w:eastAsia="sl-SI"/>
              </w:rPr>
              <w:t>Nižji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33FFDC67"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737E0" w14:textId="77777777" w:rsidR="009A5D28" w:rsidRPr="00BA46ED" w:rsidRDefault="009A5D28" w:rsidP="006C4BE6">
            <w:pPr>
              <w:pStyle w:val="TabeladesnoUMAR"/>
              <w:rPr>
                <w:lang w:eastAsia="sl-SI"/>
              </w:rPr>
            </w:pPr>
            <w:r w:rsidRPr="00BA46ED">
              <w:rPr>
                <w:lang w:eastAsia="sl-SI"/>
              </w:rPr>
              <w:t>17,9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79220" w14:textId="77777777" w:rsidR="009A5D28" w:rsidRPr="00BA46ED" w:rsidRDefault="009A5D28" w:rsidP="006C4BE6">
            <w:pPr>
              <w:pStyle w:val="TabeladesnoUMAR"/>
              <w:rPr>
                <w:lang w:eastAsia="sl-SI"/>
              </w:rPr>
            </w:pPr>
            <w:r w:rsidRPr="00BA46ED">
              <w:rPr>
                <w:lang w:eastAsia="sl-SI"/>
              </w:rPr>
              <w:t>17,5</w:t>
            </w:r>
          </w:p>
        </w:tc>
        <w:tc>
          <w:tcPr>
            <w:tcW w:w="516" w:type="pct"/>
            <w:vMerge/>
            <w:tcBorders>
              <w:left w:val="single" w:sz="4" w:space="0" w:color="auto"/>
              <w:right w:val="single" w:sz="4" w:space="0" w:color="auto"/>
            </w:tcBorders>
            <w:shd w:val="clear" w:color="auto" w:fill="auto"/>
            <w:noWrap/>
            <w:vAlign w:val="bottom"/>
            <w:hideMark/>
          </w:tcPr>
          <w:p w14:paraId="42DD91F1" w14:textId="75760E74"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4ACDB" w14:textId="77777777" w:rsidR="009A5D28" w:rsidRPr="00BA46ED" w:rsidRDefault="009A5D28" w:rsidP="006C4BE6">
            <w:pPr>
              <w:pStyle w:val="TabeladesnoUMAR"/>
              <w:rPr>
                <w:color w:val="000000"/>
                <w:lang w:eastAsia="sl-SI"/>
              </w:rPr>
            </w:pPr>
            <w:r w:rsidRPr="00BA46ED">
              <w:rPr>
                <w:color w:val="000000"/>
                <w:lang w:eastAsia="sl-SI"/>
              </w:rPr>
              <w:t>17,9</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04D83364" w14:textId="77777777" w:rsidR="009A5D28" w:rsidRPr="00BA46ED" w:rsidRDefault="009A5D28" w:rsidP="006C4BE6">
            <w:pPr>
              <w:pStyle w:val="TabeladesnoUMAR"/>
              <w:rPr>
                <w:color w:val="000000"/>
                <w:lang w:eastAsia="sl-SI"/>
              </w:rPr>
            </w:pPr>
            <w:r w:rsidRPr="00BA46ED">
              <w:rPr>
                <w:color w:val="000000"/>
                <w:lang w:eastAsia="sl-SI"/>
              </w:rPr>
              <w:t>17,6</w:t>
            </w:r>
          </w:p>
        </w:tc>
      </w:tr>
      <w:tr w:rsidR="009A5D28" w:rsidRPr="00BA46ED" w14:paraId="17F4616E" w14:textId="77777777" w:rsidTr="0086117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07BDF878" w14:textId="052B9C5F" w:rsidR="009A5D28" w:rsidRPr="00BA46ED" w:rsidRDefault="009A5D28" w:rsidP="009C0A9C">
            <w:pPr>
              <w:pStyle w:val="TabelalevoUMAR"/>
              <w:rPr>
                <w:lang w:eastAsia="sl-SI"/>
              </w:rPr>
            </w:pPr>
            <w:r w:rsidRPr="00BA46ED">
              <w:rPr>
                <w:lang w:eastAsia="sl-SI"/>
              </w:rPr>
              <w:t xml:space="preserve">Brez </w:t>
            </w:r>
            <w:r>
              <w:rPr>
                <w:lang w:eastAsia="sl-SI"/>
              </w:rPr>
              <w:t>s</w:t>
            </w:r>
            <w:r w:rsidRPr="00BA46ED">
              <w:rPr>
                <w:lang w:eastAsia="sl-SI"/>
              </w:rPr>
              <w:t>elitvenega prirasta</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1DF1D11D"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FDE1" w14:textId="77777777" w:rsidR="009A5D28" w:rsidRPr="00BA46ED" w:rsidRDefault="009A5D28" w:rsidP="006C4BE6">
            <w:pPr>
              <w:pStyle w:val="TabeladesnoUMAR"/>
              <w:rPr>
                <w:lang w:eastAsia="sl-SI"/>
              </w:rPr>
            </w:pPr>
            <w:r w:rsidRPr="00BA46ED">
              <w:rPr>
                <w:lang w:eastAsia="sl-SI"/>
              </w:rPr>
              <w:t>17,6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B915A" w14:textId="77777777" w:rsidR="009A5D28" w:rsidRPr="00BA46ED" w:rsidRDefault="009A5D28" w:rsidP="006C4BE6">
            <w:pPr>
              <w:pStyle w:val="TabeladesnoUMAR"/>
              <w:rPr>
                <w:lang w:eastAsia="sl-SI"/>
              </w:rPr>
            </w:pPr>
            <w:r w:rsidRPr="00BA46ED">
              <w:rPr>
                <w:lang w:eastAsia="sl-SI"/>
              </w:rPr>
              <w:t>17,3</w:t>
            </w:r>
          </w:p>
        </w:tc>
        <w:tc>
          <w:tcPr>
            <w:tcW w:w="516" w:type="pct"/>
            <w:vMerge/>
            <w:tcBorders>
              <w:left w:val="single" w:sz="4" w:space="0" w:color="auto"/>
              <w:bottom w:val="single" w:sz="4" w:space="0" w:color="auto"/>
              <w:right w:val="single" w:sz="4" w:space="0" w:color="auto"/>
            </w:tcBorders>
            <w:shd w:val="clear" w:color="auto" w:fill="auto"/>
            <w:noWrap/>
            <w:vAlign w:val="bottom"/>
            <w:hideMark/>
          </w:tcPr>
          <w:p w14:paraId="75342A1F" w14:textId="489C28F2"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CDFC" w14:textId="77777777" w:rsidR="009A5D28" w:rsidRPr="00BA46ED" w:rsidRDefault="009A5D28" w:rsidP="006C4BE6">
            <w:pPr>
              <w:pStyle w:val="TabeladesnoUMAR"/>
              <w:rPr>
                <w:color w:val="000000"/>
                <w:lang w:eastAsia="sl-SI"/>
              </w:rPr>
            </w:pPr>
            <w:r w:rsidRPr="00BA46ED">
              <w:rPr>
                <w:color w:val="000000"/>
                <w:lang w:eastAsia="sl-SI"/>
              </w:rPr>
              <w:t>17,3</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6A2B3DF2" w14:textId="77777777" w:rsidR="009A5D28" w:rsidRPr="00BA46ED" w:rsidRDefault="009A5D28" w:rsidP="006C4BE6">
            <w:pPr>
              <w:pStyle w:val="TabeladesnoUMAR"/>
              <w:rPr>
                <w:color w:val="000000"/>
                <w:lang w:eastAsia="sl-SI"/>
              </w:rPr>
            </w:pPr>
            <w:r w:rsidRPr="00BA46ED">
              <w:rPr>
                <w:color w:val="000000"/>
                <w:lang w:eastAsia="sl-SI"/>
              </w:rPr>
              <w:t>16,9</w:t>
            </w:r>
          </w:p>
        </w:tc>
      </w:tr>
      <w:tr w:rsidR="00684FC2" w:rsidRPr="00BA46ED" w14:paraId="65C6D87C" w14:textId="77777777" w:rsidTr="00207307">
        <w:trPr>
          <w:trHeight w:val="264"/>
        </w:trPr>
        <w:tc>
          <w:tcPr>
            <w:tcW w:w="5000" w:type="pct"/>
            <w:gridSpan w:val="7"/>
            <w:tcBorders>
              <w:top w:val="single" w:sz="4" w:space="0" w:color="auto"/>
              <w:bottom w:val="single" w:sz="4" w:space="0" w:color="auto"/>
              <w:right w:val="nil"/>
            </w:tcBorders>
            <w:shd w:val="clear" w:color="auto" w:fill="DCDCDC" w:themeFill="accent4" w:themeFillTint="33"/>
            <w:noWrap/>
            <w:vAlign w:val="center"/>
            <w:hideMark/>
          </w:tcPr>
          <w:p w14:paraId="154A7DBF" w14:textId="77777777" w:rsidR="00684FC2" w:rsidRPr="00BA46ED" w:rsidRDefault="00684FC2" w:rsidP="009C0A9C">
            <w:pPr>
              <w:pStyle w:val="TabelaglavalevoUMAR"/>
              <w:rPr>
                <w:lang w:eastAsia="sl-SI"/>
              </w:rPr>
            </w:pPr>
            <w:r w:rsidRPr="00BA46ED">
              <w:rPr>
                <w:lang w:eastAsia="sl-SI"/>
              </w:rPr>
              <w:t>Delež prebivalcev starih 20–64 let</w:t>
            </w:r>
          </w:p>
        </w:tc>
      </w:tr>
      <w:tr w:rsidR="009A5D28" w:rsidRPr="00BA46ED" w14:paraId="193EF7EC" w14:textId="77777777" w:rsidTr="008335AE">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186BED8F" w14:textId="77777777" w:rsidR="009A5D28" w:rsidRPr="00BA46ED" w:rsidRDefault="009A5D28" w:rsidP="009C0A9C">
            <w:pPr>
              <w:pStyle w:val="TabelalevoUMAR"/>
              <w:rPr>
                <w:lang w:eastAsia="sl-SI"/>
              </w:rPr>
            </w:pPr>
            <w:r w:rsidRPr="00BA46ED">
              <w:rPr>
                <w:lang w:eastAsia="sl-SI"/>
              </w:rPr>
              <w:t>Osnovni scenarij</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38A0" w14:textId="77777777" w:rsidR="009A5D28" w:rsidRPr="00BA46ED" w:rsidRDefault="009A5D28" w:rsidP="006C4BE6">
            <w:pPr>
              <w:pStyle w:val="TabeladesnoUMAR"/>
              <w:rPr>
                <w:lang w:eastAsia="sl-SI"/>
              </w:rPr>
            </w:pPr>
            <w:r w:rsidRPr="00BA46ED">
              <w:rPr>
                <w:lang w:eastAsia="sl-SI"/>
              </w:rPr>
              <w:t>59,3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A3C60" w14:textId="77777777" w:rsidR="009A5D28" w:rsidRPr="00BA46ED" w:rsidRDefault="009A5D28" w:rsidP="006C4BE6">
            <w:pPr>
              <w:pStyle w:val="TabeladesnoUMAR"/>
              <w:rPr>
                <w:lang w:eastAsia="sl-SI"/>
              </w:rPr>
            </w:pPr>
            <w:r w:rsidRPr="00BA46ED">
              <w:rPr>
                <w:lang w:eastAsia="sl-SI"/>
              </w:rPr>
              <w:t>51,1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F83B" w14:textId="77777777" w:rsidR="009A5D28" w:rsidRPr="00BA46ED" w:rsidRDefault="009A5D28" w:rsidP="006C4BE6">
            <w:pPr>
              <w:pStyle w:val="TabeladesnoUMAR"/>
              <w:rPr>
                <w:lang w:eastAsia="sl-SI"/>
              </w:rPr>
            </w:pPr>
            <w:r w:rsidRPr="00BA46ED">
              <w:rPr>
                <w:lang w:eastAsia="sl-SI"/>
              </w:rPr>
              <w:t>50,2</w:t>
            </w:r>
          </w:p>
        </w:tc>
        <w:tc>
          <w:tcPr>
            <w:tcW w:w="516" w:type="pct"/>
            <w:vMerge w:val="restart"/>
            <w:tcBorders>
              <w:top w:val="single" w:sz="4" w:space="0" w:color="auto"/>
              <w:left w:val="single" w:sz="4" w:space="0" w:color="auto"/>
              <w:right w:val="single" w:sz="4" w:space="0" w:color="auto"/>
            </w:tcBorders>
            <w:shd w:val="clear" w:color="auto" w:fill="auto"/>
            <w:noWrap/>
            <w:vAlign w:val="bottom"/>
            <w:hideMark/>
          </w:tcPr>
          <w:p w14:paraId="4542C78A" w14:textId="77777777" w:rsidR="009A5D28" w:rsidRPr="00BA46ED" w:rsidRDefault="009A5D28" w:rsidP="006C4BE6">
            <w:pPr>
              <w:pStyle w:val="TabeladesnoUMAR"/>
              <w:rPr>
                <w:color w:val="000000"/>
                <w:lang w:eastAsia="sl-SI"/>
              </w:rPr>
            </w:pPr>
            <w:r w:rsidRPr="00BA46ED">
              <w:rPr>
                <w:color w:val="000000"/>
                <w:lang w:eastAsia="sl-SI"/>
              </w:rPr>
              <w:t>58,7</w:t>
            </w:r>
          </w:p>
          <w:p w14:paraId="1526A2A6" w14:textId="77777777" w:rsidR="009A5D28" w:rsidRDefault="009A5D28" w:rsidP="006C4BE6">
            <w:pPr>
              <w:pStyle w:val="TabeladesnoUMAR"/>
              <w:rPr>
                <w:color w:val="000000"/>
                <w:lang w:eastAsia="sl-SI"/>
              </w:rPr>
            </w:pPr>
          </w:p>
          <w:p w14:paraId="099B2E74" w14:textId="77777777" w:rsidR="009A5D28" w:rsidRDefault="009A5D28" w:rsidP="006C4BE6">
            <w:pPr>
              <w:pStyle w:val="TabeladesnoUMAR"/>
              <w:rPr>
                <w:color w:val="000000"/>
                <w:lang w:eastAsia="sl-SI"/>
              </w:rPr>
            </w:pPr>
          </w:p>
          <w:p w14:paraId="5E21C29A" w14:textId="05B506FC"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37F9C" w14:textId="77777777" w:rsidR="009A5D28" w:rsidRPr="00BA46ED" w:rsidRDefault="009A5D28" w:rsidP="006C4BE6">
            <w:pPr>
              <w:pStyle w:val="TabeladesnoUMAR"/>
              <w:rPr>
                <w:color w:val="000000"/>
                <w:lang w:eastAsia="sl-SI"/>
              </w:rPr>
            </w:pPr>
            <w:r w:rsidRPr="00BA46ED">
              <w:rPr>
                <w:color w:val="000000"/>
                <w:lang w:eastAsia="sl-SI"/>
              </w:rPr>
              <w:t>51,8</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62B37290" w14:textId="77777777" w:rsidR="009A5D28" w:rsidRPr="00BA46ED" w:rsidRDefault="009A5D28" w:rsidP="006C4BE6">
            <w:pPr>
              <w:pStyle w:val="TabeladesnoUMAR"/>
              <w:rPr>
                <w:color w:val="000000"/>
                <w:lang w:eastAsia="sl-SI"/>
              </w:rPr>
            </w:pPr>
            <w:r w:rsidRPr="00BA46ED">
              <w:rPr>
                <w:color w:val="000000"/>
                <w:lang w:eastAsia="sl-SI"/>
              </w:rPr>
              <w:t>49,7</w:t>
            </w:r>
          </w:p>
        </w:tc>
      </w:tr>
      <w:tr w:rsidR="009A5D28" w:rsidRPr="00BA46ED" w14:paraId="0D5D373C" w14:textId="77777777" w:rsidTr="008335AE">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1FB9EB02" w14:textId="77777777" w:rsidR="009A5D28" w:rsidRPr="00BA46ED" w:rsidRDefault="009A5D28" w:rsidP="009C0A9C">
            <w:pPr>
              <w:pStyle w:val="TabelalevoUMAR"/>
              <w:rPr>
                <w:lang w:eastAsia="sl-SI"/>
              </w:rPr>
            </w:pPr>
            <w:r w:rsidRPr="00BA46ED">
              <w:rPr>
                <w:lang w:eastAsia="sl-SI"/>
              </w:rPr>
              <w:t>Nižja rodnost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3A797023"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C255" w14:textId="77777777" w:rsidR="009A5D28" w:rsidRPr="00BA46ED" w:rsidRDefault="009A5D28" w:rsidP="006C4BE6">
            <w:pPr>
              <w:pStyle w:val="TabeladesnoUMAR"/>
              <w:rPr>
                <w:lang w:eastAsia="sl-SI"/>
              </w:rPr>
            </w:pPr>
            <w:r w:rsidRPr="00BA46ED">
              <w:rPr>
                <w:lang w:eastAsia="sl-SI"/>
              </w:rPr>
              <w:t>52,1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F2BFE" w14:textId="77777777" w:rsidR="009A5D28" w:rsidRPr="00BA46ED" w:rsidRDefault="009A5D28" w:rsidP="006C4BE6">
            <w:pPr>
              <w:pStyle w:val="TabeladesnoUMAR"/>
              <w:rPr>
                <w:lang w:eastAsia="sl-SI"/>
              </w:rPr>
            </w:pPr>
            <w:r w:rsidRPr="00BA46ED">
              <w:rPr>
                <w:lang w:eastAsia="sl-SI"/>
              </w:rPr>
              <w:t>49,5</w:t>
            </w:r>
          </w:p>
        </w:tc>
        <w:tc>
          <w:tcPr>
            <w:tcW w:w="516" w:type="pct"/>
            <w:vMerge/>
            <w:tcBorders>
              <w:left w:val="single" w:sz="4" w:space="0" w:color="auto"/>
              <w:right w:val="single" w:sz="4" w:space="0" w:color="auto"/>
            </w:tcBorders>
            <w:shd w:val="clear" w:color="auto" w:fill="auto"/>
            <w:noWrap/>
            <w:vAlign w:val="bottom"/>
            <w:hideMark/>
          </w:tcPr>
          <w:p w14:paraId="1E278572" w14:textId="5A4C8979"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7158B" w14:textId="77777777" w:rsidR="009A5D28" w:rsidRPr="00BA46ED" w:rsidRDefault="009A5D28" w:rsidP="006C4BE6">
            <w:pPr>
              <w:pStyle w:val="TabeladesnoUMAR"/>
              <w:rPr>
                <w:color w:val="000000"/>
                <w:lang w:eastAsia="sl-SI"/>
              </w:rPr>
            </w:pPr>
            <w:r w:rsidRPr="00BA46ED">
              <w:rPr>
                <w:color w:val="000000"/>
                <w:lang w:eastAsia="sl-SI"/>
              </w:rPr>
              <w:t>52,7</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754258FF" w14:textId="77777777" w:rsidR="009A5D28" w:rsidRPr="00BA46ED" w:rsidRDefault="009A5D28" w:rsidP="006C4BE6">
            <w:pPr>
              <w:pStyle w:val="TabeladesnoUMAR"/>
              <w:rPr>
                <w:color w:val="000000"/>
                <w:lang w:eastAsia="sl-SI"/>
              </w:rPr>
            </w:pPr>
            <w:r w:rsidRPr="00BA46ED">
              <w:rPr>
                <w:color w:val="000000"/>
                <w:lang w:eastAsia="sl-SI"/>
              </w:rPr>
              <w:t>48,9</w:t>
            </w:r>
          </w:p>
        </w:tc>
      </w:tr>
      <w:tr w:rsidR="009A5D28" w:rsidRPr="00BA46ED" w14:paraId="3A9DD7FF" w14:textId="77777777" w:rsidTr="008335AE">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4C1CB15E" w14:textId="77777777" w:rsidR="009A5D28" w:rsidRPr="00BA46ED" w:rsidRDefault="009A5D28" w:rsidP="009C0A9C">
            <w:pPr>
              <w:pStyle w:val="TabelalevoUMAR"/>
              <w:rPr>
                <w:lang w:eastAsia="sl-SI"/>
              </w:rPr>
            </w:pPr>
            <w:r w:rsidRPr="00BA46ED">
              <w:rPr>
                <w:lang w:eastAsia="sl-SI"/>
              </w:rPr>
              <w:t>Nižja umrljivost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03CD4250"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59E66" w14:textId="77777777" w:rsidR="009A5D28" w:rsidRPr="00BA46ED" w:rsidRDefault="009A5D28" w:rsidP="006C4BE6">
            <w:pPr>
              <w:pStyle w:val="TabeladesnoUMAR"/>
              <w:rPr>
                <w:lang w:eastAsia="sl-SI"/>
              </w:rPr>
            </w:pPr>
            <w:r w:rsidRPr="00BA46ED">
              <w:rPr>
                <w:lang w:eastAsia="sl-SI"/>
              </w:rPr>
              <w:t>50,3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A96C1" w14:textId="77777777" w:rsidR="009A5D28" w:rsidRPr="00BA46ED" w:rsidRDefault="009A5D28" w:rsidP="006C4BE6">
            <w:pPr>
              <w:pStyle w:val="TabeladesnoUMAR"/>
              <w:rPr>
                <w:lang w:eastAsia="sl-SI"/>
              </w:rPr>
            </w:pPr>
            <w:r w:rsidRPr="00BA46ED">
              <w:rPr>
                <w:lang w:eastAsia="sl-SI"/>
              </w:rPr>
              <w:t>49,1</w:t>
            </w:r>
          </w:p>
        </w:tc>
        <w:tc>
          <w:tcPr>
            <w:tcW w:w="516" w:type="pct"/>
            <w:vMerge/>
            <w:tcBorders>
              <w:left w:val="single" w:sz="4" w:space="0" w:color="auto"/>
              <w:right w:val="single" w:sz="4" w:space="0" w:color="auto"/>
            </w:tcBorders>
            <w:shd w:val="clear" w:color="auto" w:fill="auto"/>
            <w:noWrap/>
            <w:vAlign w:val="bottom"/>
            <w:hideMark/>
          </w:tcPr>
          <w:p w14:paraId="4B8652F0" w14:textId="06535F4F"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89F72" w14:textId="77777777" w:rsidR="009A5D28" w:rsidRPr="00BA46ED" w:rsidRDefault="009A5D28" w:rsidP="006C4BE6">
            <w:pPr>
              <w:pStyle w:val="TabeladesnoUMAR"/>
              <w:rPr>
                <w:color w:val="000000"/>
                <w:lang w:eastAsia="sl-SI"/>
              </w:rPr>
            </w:pPr>
            <w:r w:rsidRPr="00BA46ED">
              <w:rPr>
                <w:color w:val="000000"/>
                <w:lang w:eastAsia="sl-SI"/>
              </w:rPr>
              <w:t>51,1</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6079C595" w14:textId="77777777" w:rsidR="009A5D28" w:rsidRPr="00BA46ED" w:rsidRDefault="009A5D28" w:rsidP="006C4BE6">
            <w:pPr>
              <w:pStyle w:val="TabeladesnoUMAR"/>
              <w:rPr>
                <w:color w:val="000000"/>
                <w:lang w:eastAsia="sl-SI"/>
              </w:rPr>
            </w:pPr>
            <w:r w:rsidRPr="00BA46ED">
              <w:rPr>
                <w:color w:val="000000"/>
                <w:lang w:eastAsia="sl-SI"/>
              </w:rPr>
              <w:t>48,6</w:t>
            </w:r>
          </w:p>
        </w:tc>
      </w:tr>
      <w:tr w:rsidR="009A5D28" w:rsidRPr="00BA46ED" w14:paraId="19CCEF05" w14:textId="77777777" w:rsidTr="008335AE">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54741692" w14:textId="77777777" w:rsidR="009A5D28" w:rsidRPr="00BA46ED" w:rsidRDefault="009A5D28" w:rsidP="009C0A9C">
            <w:pPr>
              <w:pStyle w:val="TabelalevoUMAR"/>
              <w:rPr>
                <w:lang w:eastAsia="sl-SI"/>
              </w:rPr>
            </w:pPr>
            <w:r w:rsidRPr="00BA46ED">
              <w:rPr>
                <w:lang w:eastAsia="sl-SI"/>
              </w:rPr>
              <w:t>Višji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0492BD14"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C5A2C" w14:textId="77777777" w:rsidR="009A5D28" w:rsidRPr="00BA46ED" w:rsidRDefault="009A5D28" w:rsidP="006C4BE6">
            <w:pPr>
              <w:pStyle w:val="TabeladesnoUMAR"/>
              <w:rPr>
                <w:lang w:eastAsia="sl-SI"/>
              </w:rPr>
            </w:pPr>
            <w:r w:rsidRPr="00BA46ED">
              <w:rPr>
                <w:lang w:eastAsia="sl-SI"/>
              </w:rPr>
              <w:t>52,5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FC6A" w14:textId="77777777" w:rsidR="009A5D28" w:rsidRPr="00BA46ED" w:rsidRDefault="009A5D28" w:rsidP="006C4BE6">
            <w:pPr>
              <w:pStyle w:val="TabeladesnoUMAR"/>
              <w:rPr>
                <w:lang w:eastAsia="sl-SI"/>
              </w:rPr>
            </w:pPr>
            <w:r w:rsidRPr="00BA46ED">
              <w:rPr>
                <w:lang w:eastAsia="sl-SI"/>
              </w:rPr>
              <w:t>50,7</w:t>
            </w:r>
          </w:p>
        </w:tc>
        <w:tc>
          <w:tcPr>
            <w:tcW w:w="516" w:type="pct"/>
            <w:vMerge/>
            <w:tcBorders>
              <w:left w:val="single" w:sz="4" w:space="0" w:color="auto"/>
              <w:right w:val="single" w:sz="4" w:space="0" w:color="auto"/>
            </w:tcBorders>
            <w:shd w:val="clear" w:color="auto" w:fill="auto"/>
            <w:noWrap/>
            <w:vAlign w:val="bottom"/>
            <w:hideMark/>
          </w:tcPr>
          <w:p w14:paraId="339F2B5A" w14:textId="0E41B79E"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EE20D" w14:textId="77777777" w:rsidR="009A5D28" w:rsidRPr="00BA46ED" w:rsidRDefault="009A5D28" w:rsidP="006C4BE6">
            <w:pPr>
              <w:pStyle w:val="TabeladesnoUMAR"/>
              <w:rPr>
                <w:color w:val="000000"/>
                <w:lang w:eastAsia="sl-SI"/>
              </w:rPr>
            </w:pPr>
            <w:r w:rsidRPr="00BA46ED">
              <w:rPr>
                <w:color w:val="000000"/>
                <w:lang w:eastAsia="sl-SI"/>
              </w:rPr>
              <w:t>52,6</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7942FC10" w14:textId="77777777" w:rsidR="009A5D28" w:rsidRPr="00BA46ED" w:rsidRDefault="009A5D28" w:rsidP="006C4BE6">
            <w:pPr>
              <w:pStyle w:val="TabeladesnoUMAR"/>
              <w:rPr>
                <w:color w:val="000000"/>
                <w:lang w:eastAsia="sl-SI"/>
              </w:rPr>
            </w:pPr>
            <w:r w:rsidRPr="00BA46ED">
              <w:rPr>
                <w:color w:val="000000"/>
                <w:lang w:eastAsia="sl-SI"/>
              </w:rPr>
              <w:t>50,2</w:t>
            </w:r>
          </w:p>
        </w:tc>
      </w:tr>
      <w:tr w:rsidR="009A5D28" w:rsidRPr="00BA46ED" w14:paraId="3017DDB1" w14:textId="77777777" w:rsidTr="008335AE">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65FA5A5F" w14:textId="77777777" w:rsidR="009A5D28" w:rsidRPr="00BA46ED" w:rsidRDefault="009A5D28" w:rsidP="009C0A9C">
            <w:pPr>
              <w:pStyle w:val="TabelalevoUMAR"/>
              <w:rPr>
                <w:lang w:eastAsia="sl-SI"/>
              </w:rPr>
            </w:pPr>
            <w:r w:rsidRPr="00BA46ED">
              <w:rPr>
                <w:lang w:eastAsia="sl-SI"/>
              </w:rPr>
              <w:t>Nižji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5069DA42"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6F776" w14:textId="77777777" w:rsidR="009A5D28" w:rsidRPr="00BA46ED" w:rsidRDefault="009A5D28" w:rsidP="006C4BE6">
            <w:pPr>
              <w:pStyle w:val="TabeladesnoUMAR"/>
              <w:rPr>
                <w:lang w:eastAsia="sl-SI"/>
              </w:rPr>
            </w:pPr>
            <w:r w:rsidRPr="00BA46ED">
              <w:rPr>
                <w:lang w:eastAsia="sl-SI"/>
              </w:rPr>
              <w:t>49,4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02968" w14:textId="77777777" w:rsidR="009A5D28" w:rsidRPr="00BA46ED" w:rsidRDefault="009A5D28" w:rsidP="006C4BE6">
            <w:pPr>
              <w:pStyle w:val="TabeladesnoUMAR"/>
              <w:rPr>
                <w:lang w:eastAsia="sl-SI"/>
              </w:rPr>
            </w:pPr>
            <w:r w:rsidRPr="00BA46ED">
              <w:rPr>
                <w:lang w:eastAsia="sl-SI"/>
              </w:rPr>
              <w:t>49,6</w:t>
            </w:r>
          </w:p>
        </w:tc>
        <w:tc>
          <w:tcPr>
            <w:tcW w:w="516" w:type="pct"/>
            <w:vMerge/>
            <w:tcBorders>
              <w:left w:val="single" w:sz="4" w:space="0" w:color="auto"/>
              <w:right w:val="single" w:sz="4" w:space="0" w:color="auto"/>
            </w:tcBorders>
            <w:shd w:val="clear" w:color="auto" w:fill="auto"/>
            <w:noWrap/>
            <w:vAlign w:val="bottom"/>
            <w:hideMark/>
          </w:tcPr>
          <w:p w14:paraId="7B3155D1" w14:textId="74A4A69C"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6275E" w14:textId="77777777" w:rsidR="009A5D28" w:rsidRPr="00BA46ED" w:rsidRDefault="009A5D28" w:rsidP="006C4BE6">
            <w:pPr>
              <w:pStyle w:val="TabeladesnoUMAR"/>
              <w:rPr>
                <w:color w:val="000000"/>
                <w:lang w:eastAsia="sl-SI"/>
              </w:rPr>
            </w:pPr>
            <w:r w:rsidRPr="00BA46ED">
              <w:rPr>
                <w:color w:val="000000"/>
                <w:lang w:eastAsia="sl-SI"/>
              </w:rPr>
              <w:t>50,9</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1D10FF1E" w14:textId="77777777" w:rsidR="009A5D28" w:rsidRPr="00BA46ED" w:rsidRDefault="009A5D28" w:rsidP="006C4BE6">
            <w:pPr>
              <w:pStyle w:val="TabeladesnoUMAR"/>
              <w:rPr>
                <w:color w:val="000000"/>
                <w:lang w:eastAsia="sl-SI"/>
              </w:rPr>
            </w:pPr>
            <w:r w:rsidRPr="00BA46ED">
              <w:rPr>
                <w:color w:val="000000"/>
                <w:lang w:eastAsia="sl-SI"/>
              </w:rPr>
              <w:t>49,1</w:t>
            </w:r>
          </w:p>
        </w:tc>
      </w:tr>
      <w:tr w:rsidR="009A5D28" w:rsidRPr="00BA46ED" w14:paraId="27B8996F" w14:textId="77777777" w:rsidTr="008335AE">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1EA0A732" w14:textId="76F3E1D5" w:rsidR="009A5D28" w:rsidRPr="00BA46ED" w:rsidRDefault="009A5D28" w:rsidP="009C0A9C">
            <w:pPr>
              <w:pStyle w:val="TabelalevoUMAR"/>
              <w:rPr>
                <w:lang w:eastAsia="sl-SI"/>
              </w:rPr>
            </w:pPr>
            <w:r w:rsidRPr="00BA46ED">
              <w:rPr>
                <w:lang w:eastAsia="sl-SI"/>
              </w:rPr>
              <w:t xml:space="preserve">Brez </w:t>
            </w:r>
            <w:r>
              <w:rPr>
                <w:lang w:eastAsia="sl-SI"/>
              </w:rPr>
              <w:t>s</w:t>
            </w:r>
            <w:r w:rsidRPr="00BA46ED">
              <w:rPr>
                <w:lang w:eastAsia="sl-SI"/>
              </w:rPr>
              <w:t>elitvenega prirasta</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143ADF1E"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E2CFC" w14:textId="77777777" w:rsidR="009A5D28" w:rsidRPr="00BA46ED" w:rsidRDefault="009A5D28" w:rsidP="006C4BE6">
            <w:pPr>
              <w:pStyle w:val="TabeladesnoUMAR"/>
              <w:rPr>
                <w:lang w:eastAsia="sl-SI"/>
              </w:rPr>
            </w:pPr>
            <w:r w:rsidRPr="00BA46ED">
              <w:rPr>
                <w:lang w:eastAsia="sl-SI"/>
              </w:rPr>
              <w:t>48,0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8408" w14:textId="77777777" w:rsidR="009A5D28" w:rsidRPr="00BA46ED" w:rsidRDefault="009A5D28" w:rsidP="006C4BE6">
            <w:pPr>
              <w:pStyle w:val="TabeladesnoUMAR"/>
              <w:rPr>
                <w:lang w:eastAsia="sl-SI"/>
              </w:rPr>
            </w:pPr>
            <w:r w:rsidRPr="00BA46ED">
              <w:rPr>
                <w:lang w:eastAsia="sl-SI"/>
              </w:rPr>
              <w:t>48,1</w:t>
            </w:r>
          </w:p>
        </w:tc>
        <w:tc>
          <w:tcPr>
            <w:tcW w:w="516" w:type="pct"/>
            <w:vMerge/>
            <w:tcBorders>
              <w:left w:val="single" w:sz="4" w:space="0" w:color="auto"/>
              <w:bottom w:val="single" w:sz="4" w:space="0" w:color="auto"/>
              <w:right w:val="single" w:sz="4" w:space="0" w:color="auto"/>
            </w:tcBorders>
            <w:shd w:val="clear" w:color="auto" w:fill="auto"/>
            <w:noWrap/>
            <w:vAlign w:val="bottom"/>
            <w:hideMark/>
          </w:tcPr>
          <w:p w14:paraId="2FB6017F" w14:textId="0962F235"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2FC3" w14:textId="77777777" w:rsidR="009A5D28" w:rsidRPr="00BA46ED" w:rsidRDefault="009A5D28" w:rsidP="006C4BE6">
            <w:pPr>
              <w:pStyle w:val="TabeladesnoUMAR"/>
              <w:rPr>
                <w:color w:val="000000"/>
                <w:lang w:eastAsia="sl-SI"/>
              </w:rPr>
            </w:pPr>
            <w:r w:rsidRPr="00BA46ED">
              <w:rPr>
                <w:color w:val="000000"/>
                <w:lang w:eastAsia="sl-SI"/>
              </w:rPr>
              <w:t>49,6</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428948BF" w14:textId="77777777" w:rsidR="009A5D28" w:rsidRPr="00BA46ED" w:rsidRDefault="009A5D28" w:rsidP="006C4BE6">
            <w:pPr>
              <w:pStyle w:val="TabeladesnoUMAR"/>
              <w:rPr>
                <w:color w:val="000000"/>
                <w:lang w:eastAsia="sl-SI"/>
              </w:rPr>
            </w:pPr>
            <w:r w:rsidRPr="00BA46ED">
              <w:rPr>
                <w:color w:val="000000"/>
                <w:lang w:eastAsia="sl-SI"/>
              </w:rPr>
              <w:t>47,3</w:t>
            </w:r>
          </w:p>
        </w:tc>
      </w:tr>
      <w:tr w:rsidR="00684FC2" w:rsidRPr="00BA46ED" w14:paraId="747DF0C8" w14:textId="77777777" w:rsidTr="00207307">
        <w:trPr>
          <w:trHeight w:val="264"/>
        </w:trPr>
        <w:tc>
          <w:tcPr>
            <w:tcW w:w="5000" w:type="pct"/>
            <w:gridSpan w:val="7"/>
            <w:tcBorders>
              <w:top w:val="single" w:sz="4" w:space="0" w:color="auto"/>
              <w:bottom w:val="single" w:sz="4" w:space="0" w:color="auto"/>
              <w:right w:val="nil"/>
            </w:tcBorders>
            <w:shd w:val="clear" w:color="auto" w:fill="DCDCDC" w:themeFill="accent4" w:themeFillTint="33"/>
            <w:noWrap/>
            <w:vAlign w:val="center"/>
            <w:hideMark/>
          </w:tcPr>
          <w:p w14:paraId="6FE30D30" w14:textId="77777777" w:rsidR="00684FC2" w:rsidRPr="00BA46ED" w:rsidRDefault="00684FC2" w:rsidP="009C0A9C">
            <w:pPr>
              <w:pStyle w:val="TabelaglavalevoUMAR"/>
              <w:rPr>
                <w:lang w:eastAsia="sl-SI"/>
              </w:rPr>
            </w:pPr>
            <w:r w:rsidRPr="00BA46ED">
              <w:rPr>
                <w:lang w:eastAsia="sl-SI"/>
              </w:rPr>
              <w:t>Delež prebivalcev starih nad 65 let</w:t>
            </w:r>
          </w:p>
        </w:tc>
      </w:tr>
      <w:tr w:rsidR="009A5D28" w:rsidRPr="00BA46ED" w14:paraId="4EAC91D8" w14:textId="77777777" w:rsidTr="002A1DA7">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1E8B1CB9" w14:textId="77777777" w:rsidR="009A5D28" w:rsidRPr="00BA46ED" w:rsidRDefault="009A5D28" w:rsidP="009C0A9C">
            <w:pPr>
              <w:pStyle w:val="TabelalevoUMAR"/>
              <w:rPr>
                <w:lang w:eastAsia="sl-SI"/>
              </w:rPr>
            </w:pPr>
            <w:r w:rsidRPr="00BA46ED">
              <w:rPr>
                <w:lang w:eastAsia="sl-SI"/>
              </w:rPr>
              <w:t>Osnovni scenarij</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9A69E" w14:textId="77777777" w:rsidR="009A5D28" w:rsidRPr="00BA46ED" w:rsidRDefault="009A5D28" w:rsidP="006C4BE6">
            <w:pPr>
              <w:pStyle w:val="TabeladesnoUMAR"/>
              <w:rPr>
                <w:lang w:eastAsia="sl-SI"/>
              </w:rPr>
            </w:pPr>
            <w:r w:rsidRPr="00BA46ED">
              <w:rPr>
                <w:lang w:eastAsia="sl-SI"/>
              </w:rPr>
              <w:t>21,1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EB32" w14:textId="77777777" w:rsidR="009A5D28" w:rsidRPr="00BA46ED" w:rsidRDefault="009A5D28" w:rsidP="006C4BE6">
            <w:pPr>
              <w:pStyle w:val="TabeladesnoUMAR"/>
              <w:rPr>
                <w:lang w:eastAsia="sl-SI"/>
              </w:rPr>
            </w:pPr>
            <w:r w:rsidRPr="00BA46ED">
              <w:rPr>
                <w:lang w:eastAsia="sl-SI"/>
              </w:rPr>
              <w:t>30,9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090F0" w14:textId="77777777" w:rsidR="009A5D28" w:rsidRPr="00BA46ED" w:rsidRDefault="009A5D28" w:rsidP="006C4BE6">
            <w:pPr>
              <w:pStyle w:val="TabeladesnoUMAR"/>
              <w:rPr>
                <w:lang w:eastAsia="sl-SI"/>
              </w:rPr>
            </w:pPr>
            <w:r w:rsidRPr="00BA46ED">
              <w:rPr>
                <w:lang w:eastAsia="sl-SI"/>
              </w:rPr>
              <w:t>32,1</w:t>
            </w:r>
          </w:p>
        </w:tc>
        <w:tc>
          <w:tcPr>
            <w:tcW w:w="516" w:type="pct"/>
            <w:vMerge w:val="restart"/>
            <w:tcBorders>
              <w:top w:val="single" w:sz="4" w:space="0" w:color="auto"/>
              <w:left w:val="single" w:sz="4" w:space="0" w:color="auto"/>
              <w:right w:val="single" w:sz="4" w:space="0" w:color="auto"/>
            </w:tcBorders>
            <w:shd w:val="clear" w:color="auto" w:fill="auto"/>
            <w:noWrap/>
            <w:vAlign w:val="bottom"/>
            <w:hideMark/>
          </w:tcPr>
          <w:p w14:paraId="0A042A8E" w14:textId="77777777" w:rsidR="009A5D28" w:rsidRPr="00BA46ED" w:rsidRDefault="009A5D28" w:rsidP="006C4BE6">
            <w:pPr>
              <w:pStyle w:val="TabeladesnoUMAR"/>
              <w:rPr>
                <w:color w:val="000000"/>
                <w:lang w:eastAsia="sl-SI"/>
              </w:rPr>
            </w:pPr>
            <w:r w:rsidRPr="00BA46ED">
              <w:rPr>
                <w:color w:val="000000"/>
                <w:lang w:eastAsia="sl-SI"/>
              </w:rPr>
              <w:t>21,1</w:t>
            </w:r>
          </w:p>
          <w:p w14:paraId="0F083D4F" w14:textId="77777777" w:rsidR="009A5D28" w:rsidRDefault="009A5D28" w:rsidP="006C4BE6">
            <w:pPr>
              <w:pStyle w:val="TabeladesnoUMAR"/>
              <w:rPr>
                <w:color w:val="000000"/>
                <w:lang w:eastAsia="sl-SI"/>
              </w:rPr>
            </w:pPr>
          </w:p>
          <w:p w14:paraId="7D3CB40B" w14:textId="77777777" w:rsidR="009A5D28" w:rsidRDefault="009A5D28" w:rsidP="006C4BE6">
            <w:pPr>
              <w:pStyle w:val="TabeladesnoUMAR"/>
              <w:rPr>
                <w:color w:val="000000"/>
                <w:lang w:eastAsia="sl-SI"/>
              </w:rPr>
            </w:pPr>
          </w:p>
          <w:p w14:paraId="086534BD" w14:textId="12782835"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4D95A" w14:textId="77777777" w:rsidR="009A5D28" w:rsidRPr="00BA46ED" w:rsidRDefault="009A5D28" w:rsidP="006C4BE6">
            <w:pPr>
              <w:pStyle w:val="TabeladesnoUMAR"/>
              <w:rPr>
                <w:color w:val="000000"/>
                <w:lang w:eastAsia="sl-SI"/>
              </w:rPr>
            </w:pPr>
            <w:r w:rsidRPr="00BA46ED">
              <w:rPr>
                <w:color w:val="000000"/>
                <w:lang w:eastAsia="sl-SI"/>
              </w:rPr>
              <w:t>30,0</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28332F5C" w14:textId="77777777" w:rsidR="009A5D28" w:rsidRPr="00BA46ED" w:rsidRDefault="009A5D28" w:rsidP="006C4BE6">
            <w:pPr>
              <w:pStyle w:val="TabeladesnoUMAR"/>
              <w:rPr>
                <w:color w:val="000000"/>
                <w:lang w:eastAsia="sl-SI"/>
              </w:rPr>
            </w:pPr>
            <w:r w:rsidRPr="00BA46ED">
              <w:rPr>
                <w:color w:val="000000"/>
                <w:lang w:eastAsia="sl-SI"/>
              </w:rPr>
              <w:t>32,5</w:t>
            </w:r>
          </w:p>
        </w:tc>
      </w:tr>
      <w:tr w:rsidR="009A5D28" w:rsidRPr="00BA46ED" w14:paraId="5C638AB0" w14:textId="77777777" w:rsidTr="002A1DA7">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4D63F8DD" w14:textId="77777777" w:rsidR="009A5D28" w:rsidRPr="00BA46ED" w:rsidRDefault="009A5D28" w:rsidP="009C0A9C">
            <w:pPr>
              <w:pStyle w:val="TabelalevoUMAR"/>
              <w:rPr>
                <w:lang w:eastAsia="sl-SI"/>
              </w:rPr>
            </w:pPr>
            <w:r w:rsidRPr="00BA46ED">
              <w:rPr>
                <w:lang w:eastAsia="sl-SI"/>
              </w:rPr>
              <w:t>Nižja rodnost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0F4F179F"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9E05D" w14:textId="77777777" w:rsidR="009A5D28" w:rsidRPr="00BA46ED" w:rsidRDefault="009A5D28" w:rsidP="006C4BE6">
            <w:pPr>
              <w:pStyle w:val="TabeladesnoUMAR"/>
              <w:rPr>
                <w:lang w:eastAsia="sl-SI"/>
              </w:rPr>
            </w:pPr>
            <w:r w:rsidRPr="00BA46ED">
              <w:rPr>
                <w:lang w:eastAsia="sl-SI"/>
              </w:rPr>
              <w:t>32,9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3310" w14:textId="77777777" w:rsidR="009A5D28" w:rsidRPr="00BA46ED" w:rsidRDefault="009A5D28" w:rsidP="006C4BE6">
            <w:pPr>
              <w:pStyle w:val="TabeladesnoUMAR"/>
              <w:rPr>
                <w:lang w:eastAsia="sl-SI"/>
              </w:rPr>
            </w:pPr>
            <w:r w:rsidRPr="00BA46ED">
              <w:rPr>
                <w:lang w:eastAsia="sl-SI"/>
              </w:rPr>
              <w:t>36,8</w:t>
            </w:r>
          </w:p>
        </w:tc>
        <w:tc>
          <w:tcPr>
            <w:tcW w:w="516" w:type="pct"/>
            <w:vMerge/>
            <w:tcBorders>
              <w:left w:val="single" w:sz="4" w:space="0" w:color="auto"/>
              <w:right w:val="single" w:sz="4" w:space="0" w:color="auto"/>
            </w:tcBorders>
            <w:shd w:val="clear" w:color="auto" w:fill="auto"/>
            <w:noWrap/>
            <w:vAlign w:val="bottom"/>
            <w:hideMark/>
          </w:tcPr>
          <w:p w14:paraId="7B80E080" w14:textId="6E172C1C"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179BA" w14:textId="77777777" w:rsidR="009A5D28" w:rsidRPr="00BA46ED" w:rsidRDefault="009A5D28" w:rsidP="006C4BE6">
            <w:pPr>
              <w:pStyle w:val="TabeladesnoUMAR"/>
              <w:rPr>
                <w:color w:val="000000"/>
                <w:lang w:eastAsia="sl-SI"/>
              </w:rPr>
            </w:pPr>
            <w:r w:rsidRPr="00BA46ED">
              <w:rPr>
                <w:color w:val="000000"/>
                <w:lang w:eastAsia="sl-SI"/>
              </w:rPr>
              <w:t>32,1</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77178558" w14:textId="77777777" w:rsidR="009A5D28" w:rsidRPr="00BA46ED" w:rsidRDefault="009A5D28" w:rsidP="006C4BE6">
            <w:pPr>
              <w:pStyle w:val="TabeladesnoUMAR"/>
              <w:rPr>
                <w:color w:val="000000"/>
                <w:lang w:eastAsia="sl-SI"/>
              </w:rPr>
            </w:pPr>
            <w:r w:rsidRPr="00BA46ED">
              <w:rPr>
                <w:color w:val="000000"/>
                <w:lang w:eastAsia="sl-SI"/>
              </w:rPr>
              <w:t>37,0</w:t>
            </w:r>
          </w:p>
        </w:tc>
      </w:tr>
      <w:tr w:rsidR="009A5D28" w:rsidRPr="00BA46ED" w14:paraId="76EA0114" w14:textId="77777777" w:rsidTr="002A1DA7">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71CC5661" w14:textId="77777777" w:rsidR="009A5D28" w:rsidRPr="00BA46ED" w:rsidRDefault="009A5D28" w:rsidP="009C0A9C">
            <w:pPr>
              <w:pStyle w:val="TabelalevoUMAR"/>
              <w:rPr>
                <w:lang w:eastAsia="sl-SI"/>
              </w:rPr>
            </w:pPr>
            <w:r w:rsidRPr="00BA46ED">
              <w:rPr>
                <w:lang w:eastAsia="sl-SI"/>
              </w:rPr>
              <w:t>Nižja umrljivost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471ABC47"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5BF24" w14:textId="77777777" w:rsidR="009A5D28" w:rsidRPr="00BA46ED" w:rsidRDefault="009A5D28" w:rsidP="006C4BE6">
            <w:pPr>
              <w:pStyle w:val="TabeladesnoUMAR"/>
              <w:rPr>
                <w:lang w:eastAsia="sl-SI"/>
              </w:rPr>
            </w:pPr>
            <w:r w:rsidRPr="00BA46ED">
              <w:rPr>
                <w:lang w:eastAsia="sl-SI"/>
              </w:rPr>
              <w:t>31,9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AFA1" w14:textId="77777777" w:rsidR="009A5D28" w:rsidRPr="00BA46ED" w:rsidRDefault="009A5D28" w:rsidP="006C4BE6">
            <w:pPr>
              <w:pStyle w:val="TabeladesnoUMAR"/>
              <w:rPr>
                <w:lang w:eastAsia="sl-SI"/>
              </w:rPr>
            </w:pPr>
            <w:r w:rsidRPr="00BA46ED">
              <w:rPr>
                <w:lang w:eastAsia="sl-SI"/>
              </w:rPr>
              <w:t>33,6</w:t>
            </w:r>
          </w:p>
        </w:tc>
        <w:tc>
          <w:tcPr>
            <w:tcW w:w="516" w:type="pct"/>
            <w:vMerge/>
            <w:tcBorders>
              <w:left w:val="single" w:sz="4" w:space="0" w:color="auto"/>
              <w:right w:val="single" w:sz="4" w:space="0" w:color="auto"/>
            </w:tcBorders>
            <w:shd w:val="clear" w:color="auto" w:fill="auto"/>
            <w:noWrap/>
            <w:vAlign w:val="bottom"/>
            <w:hideMark/>
          </w:tcPr>
          <w:p w14:paraId="44C88E60" w14:textId="6E4D5802"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ADF60" w14:textId="77777777" w:rsidR="009A5D28" w:rsidRPr="00BA46ED" w:rsidRDefault="009A5D28" w:rsidP="006C4BE6">
            <w:pPr>
              <w:pStyle w:val="TabeladesnoUMAR"/>
              <w:rPr>
                <w:color w:val="000000"/>
                <w:lang w:eastAsia="sl-SI"/>
              </w:rPr>
            </w:pPr>
            <w:r w:rsidRPr="00BA46ED">
              <w:rPr>
                <w:color w:val="000000"/>
                <w:lang w:eastAsia="sl-SI"/>
              </w:rPr>
              <w:t>31,1</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0528524D" w14:textId="77777777" w:rsidR="009A5D28" w:rsidRPr="00BA46ED" w:rsidRDefault="009A5D28" w:rsidP="006C4BE6">
            <w:pPr>
              <w:pStyle w:val="TabeladesnoUMAR"/>
              <w:rPr>
                <w:color w:val="000000"/>
                <w:lang w:eastAsia="sl-SI"/>
              </w:rPr>
            </w:pPr>
            <w:r w:rsidRPr="00BA46ED">
              <w:rPr>
                <w:color w:val="000000"/>
                <w:lang w:eastAsia="sl-SI"/>
              </w:rPr>
              <w:t>34,0</w:t>
            </w:r>
          </w:p>
        </w:tc>
      </w:tr>
      <w:tr w:rsidR="009A5D28" w:rsidRPr="00BA46ED" w14:paraId="19063F4B" w14:textId="77777777" w:rsidTr="002A1DA7">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0A384372" w14:textId="77777777" w:rsidR="009A5D28" w:rsidRPr="00BA46ED" w:rsidRDefault="009A5D28" w:rsidP="009C0A9C">
            <w:pPr>
              <w:pStyle w:val="TabelalevoUMAR"/>
              <w:rPr>
                <w:lang w:eastAsia="sl-SI"/>
              </w:rPr>
            </w:pPr>
            <w:r w:rsidRPr="00BA46ED">
              <w:rPr>
                <w:lang w:eastAsia="sl-SI"/>
              </w:rPr>
              <w:t>Višji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2B802489"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777B" w14:textId="77777777" w:rsidR="009A5D28" w:rsidRPr="00BA46ED" w:rsidRDefault="009A5D28" w:rsidP="006C4BE6">
            <w:pPr>
              <w:pStyle w:val="TabeladesnoUMAR"/>
              <w:rPr>
                <w:lang w:eastAsia="sl-SI"/>
              </w:rPr>
            </w:pPr>
            <w:r w:rsidRPr="00BA46ED">
              <w:rPr>
                <w:lang w:eastAsia="sl-SI"/>
              </w:rPr>
              <w:t>29,3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2901D" w14:textId="77777777" w:rsidR="009A5D28" w:rsidRPr="00BA46ED" w:rsidRDefault="009A5D28" w:rsidP="006C4BE6">
            <w:pPr>
              <w:pStyle w:val="TabeladesnoUMAR"/>
              <w:rPr>
                <w:lang w:eastAsia="sl-SI"/>
              </w:rPr>
            </w:pPr>
            <w:r w:rsidRPr="00BA46ED">
              <w:rPr>
                <w:lang w:eastAsia="sl-SI"/>
              </w:rPr>
              <w:t>31,5</w:t>
            </w:r>
          </w:p>
        </w:tc>
        <w:tc>
          <w:tcPr>
            <w:tcW w:w="516" w:type="pct"/>
            <w:vMerge/>
            <w:tcBorders>
              <w:left w:val="single" w:sz="4" w:space="0" w:color="auto"/>
              <w:right w:val="single" w:sz="4" w:space="0" w:color="auto"/>
            </w:tcBorders>
            <w:shd w:val="clear" w:color="auto" w:fill="auto"/>
            <w:noWrap/>
            <w:vAlign w:val="bottom"/>
            <w:hideMark/>
          </w:tcPr>
          <w:p w14:paraId="0DFF67B4" w14:textId="0F1BD1B3"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A1C97" w14:textId="77777777" w:rsidR="009A5D28" w:rsidRPr="00BA46ED" w:rsidRDefault="009A5D28" w:rsidP="006C4BE6">
            <w:pPr>
              <w:pStyle w:val="TabeladesnoUMAR"/>
              <w:rPr>
                <w:color w:val="000000"/>
                <w:lang w:eastAsia="sl-SI"/>
              </w:rPr>
            </w:pPr>
            <w:r w:rsidRPr="00BA46ED">
              <w:rPr>
                <w:color w:val="000000"/>
                <w:lang w:eastAsia="sl-SI"/>
              </w:rPr>
              <w:t>29,0</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4267892C" w14:textId="77777777" w:rsidR="009A5D28" w:rsidRPr="00BA46ED" w:rsidRDefault="009A5D28" w:rsidP="006C4BE6">
            <w:pPr>
              <w:pStyle w:val="TabeladesnoUMAR"/>
              <w:rPr>
                <w:color w:val="000000"/>
                <w:lang w:eastAsia="sl-SI"/>
              </w:rPr>
            </w:pPr>
            <w:r w:rsidRPr="00BA46ED">
              <w:rPr>
                <w:color w:val="000000"/>
                <w:lang w:eastAsia="sl-SI"/>
              </w:rPr>
              <w:t>31,8</w:t>
            </w:r>
          </w:p>
        </w:tc>
      </w:tr>
      <w:tr w:rsidR="009A5D28" w:rsidRPr="00BA46ED" w14:paraId="4691B647" w14:textId="77777777" w:rsidTr="002A1DA7">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1FB6DFB6" w14:textId="77777777" w:rsidR="009A5D28" w:rsidRPr="00BA46ED" w:rsidRDefault="009A5D28" w:rsidP="009C0A9C">
            <w:pPr>
              <w:pStyle w:val="TabelalevoUMAR"/>
              <w:rPr>
                <w:lang w:eastAsia="sl-SI"/>
              </w:rPr>
            </w:pPr>
            <w:r w:rsidRPr="00BA46ED">
              <w:rPr>
                <w:lang w:eastAsia="sl-SI"/>
              </w:rPr>
              <w:t>Nižji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45B11D30"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98CA2" w14:textId="77777777" w:rsidR="009A5D28" w:rsidRPr="00BA46ED" w:rsidRDefault="009A5D28" w:rsidP="006C4BE6">
            <w:pPr>
              <w:pStyle w:val="TabeladesnoUMAR"/>
              <w:rPr>
                <w:lang w:eastAsia="sl-SI"/>
              </w:rPr>
            </w:pPr>
            <w:r w:rsidRPr="00BA46ED">
              <w:rPr>
                <w:lang w:eastAsia="sl-SI"/>
              </w:rPr>
              <w:t>32,7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506A9" w14:textId="77777777" w:rsidR="009A5D28" w:rsidRPr="00BA46ED" w:rsidRDefault="009A5D28" w:rsidP="006C4BE6">
            <w:pPr>
              <w:pStyle w:val="TabeladesnoUMAR"/>
              <w:rPr>
                <w:lang w:eastAsia="sl-SI"/>
              </w:rPr>
            </w:pPr>
            <w:r w:rsidRPr="00BA46ED">
              <w:rPr>
                <w:lang w:eastAsia="sl-SI"/>
              </w:rPr>
              <w:t>32,9</w:t>
            </w:r>
          </w:p>
        </w:tc>
        <w:tc>
          <w:tcPr>
            <w:tcW w:w="516" w:type="pct"/>
            <w:vMerge/>
            <w:tcBorders>
              <w:left w:val="single" w:sz="4" w:space="0" w:color="auto"/>
              <w:right w:val="single" w:sz="4" w:space="0" w:color="auto"/>
            </w:tcBorders>
            <w:shd w:val="clear" w:color="auto" w:fill="auto"/>
            <w:noWrap/>
            <w:vAlign w:val="bottom"/>
            <w:hideMark/>
          </w:tcPr>
          <w:p w14:paraId="63ED32C5" w14:textId="50385DE1"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1A44F" w14:textId="77777777" w:rsidR="009A5D28" w:rsidRPr="00BA46ED" w:rsidRDefault="009A5D28" w:rsidP="006C4BE6">
            <w:pPr>
              <w:pStyle w:val="TabeladesnoUMAR"/>
              <w:rPr>
                <w:color w:val="000000"/>
                <w:lang w:eastAsia="sl-SI"/>
              </w:rPr>
            </w:pPr>
            <w:r w:rsidRPr="00BA46ED">
              <w:rPr>
                <w:color w:val="000000"/>
                <w:lang w:eastAsia="sl-SI"/>
              </w:rPr>
              <w:t>31,2</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28C91E07" w14:textId="77777777" w:rsidR="009A5D28" w:rsidRPr="00BA46ED" w:rsidRDefault="009A5D28" w:rsidP="006C4BE6">
            <w:pPr>
              <w:pStyle w:val="TabeladesnoUMAR"/>
              <w:rPr>
                <w:color w:val="000000"/>
                <w:lang w:eastAsia="sl-SI"/>
              </w:rPr>
            </w:pPr>
            <w:r w:rsidRPr="00BA46ED">
              <w:rPr>
                <w:color w:val="000000"/>
                <w:lang w:eastAsia="sl-SI"/>
              </w:rPr>
              <w:t>33,3</w:t>
            </w:r>
          </w:p>
        </w:tc>
      </w:tr>
      <w:tr w:rsidR="009A5D28" w:rsidRPr="00BA46ED" w14:paraId="2D342FC6" w14:textId="77777777" w:rsidTr="002A1DA7">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5F0AA36C" w14:textId="2F47F7A3" w:rsidR="009A5D28" w:rsidRPr="00BA46ED" w:rsidRDefault="009A5D28" w:rsidP="009C0A9C">
            <w:pPr>
              <w:pStyle w:val="TabelalevoUMAR"/>
              <w:rPr>
                <w:lang w:eastAsia="sl-SI"/>
              </w:rPr>
            </w:pPr>
            <w:r w:rsidRPr="00BA46ED">
              <w:rPr>
                <w:lang w:eastAsia="sl-SI"/>
              </w:rPr>
              <w:t xml:space="preserve">Brez </w:t>
            </w:r>
            <w:r>
              <w:rPr>
                <w:lang w:eastAsia="sl-SI"/>
              </w:rPr>
              <w:t>s</w:t>
            </w:r>
            <w:r w:rsidRPr="00BA46ED">
              <w:rPr>
                <w:lang w:eastAsia="sl-SI"/>
              </w:rPr>
              <w:t>elitvenega prirasta</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362C5A13"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5DB2" w14:textId="77777777" w:rsidR="009A5D28" w:rsidRPr="00BA46ED" w:rsidRDefault="009A5D28" w:rsidP="006C4BE6">
            <w:pPr>
              <w:pStyle w:val="TabeladesnoUMAR"/>
              <w:rPr>
                <w:lang w:eastAsia="sl-SI"/>
              </w:rPr>
            </w:pPr>
            <w:r w:rsidRPr="00BA46ED">
              <w:rPr>
                <w:lang w:eastAsia="sl-SI"/>
              </w:rPr>
              <w:t>34,3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6ADA" w14:textId="77777777" w:rsidR="009A5D28" w:rsidRPr="00BA46ED" w:rsidRDefault="009A5D28" w:rsidP="006C4BE6">
            <w:pPr>
              <w:pStyle w:val="TabeladesnoUMAR"/>
              <w:rPr>
                <w:lang w:eastAsia="sl-SI"/>
              </w:rPr>
            </w:pPr>
            <w:r w:rsidRPr="00BA46ED">
              <w:rPr>
                <w:lang w:eastAsia="sl-SI"/>
              </w:rPr>
              <w:t>34,6</w:t>
            </w:r>
          </w:p>
        </w:tc>
        <w:tc>
          <w:tcPr>
            <w:tcW w:w="516" w:type="pct"/>
            <w:vMerge/>
            <w:tcBorders>
              <w:left w:val="single" w:sz="4" w:space="0" w:color="auto"/>
              <w:bottom w:val="single" w:sz="4" w:space="0" w:color="auto"/>
              <w:right w:val="single" w:sz="4" w:space="0" w:color="auto"/>
            </w:tcBorders>
            <w:shd w:val="clear" w:color="auto" w:fill="auto"/>
            <w:noWrap/>
            <w:vAlign w:val="bottom"/>
            <w:hideMark/>
          </w:tcPr>
          <w:p w14:paraId="23330A55" w14:textId="1957CF6E"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0303F" w14:textId="77777777" w:rsidR="009A5D28" w:rsidRPr="00BA46ED" w:rsidRDefault="009A5D28" w:rsidP="006C4BE6">
            <w:pPr>
              <w:pStyle w:val="TabeladesnoUMAR"/>
              <w:rPr>
                <w:color w:val="000000"/>
                <w:lang w:eastAsia="sl-SI"/>
              </w:rPr>
            </w:pPr>
            <w:r w:rsidRPr="00BA46ED">
              <w:rPr>
                <w:color w:val="000000"/>
                <w:lang w:eastAsia="sl-SI"/>
              </w:rPr>
              <w:t>33,1</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05E7EB22" w14:textId="77777777" w:rsidR="009A5D28" w:rsidRPr="00BA46ED" w:rsidRDefault="009A5D28" w:rsidP="006C4BE6">
            <w:pPr>
              <w:pStyle w:val="TabeladesnoUMAR"/>
              <w:rPr>
                <w:color w:val="000000"/>
                <w:lang w:eastAsia="sl-SI"/>
              </w:rPr>
            </w:pPr>
            <w:r w:rsidRPr="00BA46ED">
              <w:rPr>
                <w:color w:val="000000"/>
                <w:lang w:eastAsia="sl-SI"/>
              </w:rPr>
              <w:t>35,8</w:t>
            </w:r>
          </w:p>
        </w:tc>
      </w:tr>
      <w:tr w:rsidR="00684FC2" w:rsidRPr="00D4033C" w14:paraId="5DBBFE1C" w14:textId="77777777" w:rsidTr="00207307">
        <w:trPr>
          <w:trHeight w:val="264"/>
        </w:trPr>
        <w:tc>
          <w:tcPr>
            <w:tcW w:w="5000" w:type="pct"/>
            <w:gridSpan w:val="7"/>
            <w:tcBorders>
              <w:top w:val="single" w:sz="4" w:space="0" w:color="auto"/>
              <w:bottom w:val="single" w:sz="4" w:space="0" w:color="auto"/>
              <w:right w:val="nil"/>
            </w:tcBorders>
            <w:shd w:val="clear" w:color="auto" w:fill="DCDCDC" w:themeFill="accent4" w:themeFillTint="33"/>
            <w:noWrap/>
            <w:vAlign w:val="center"/>
            <w:hideMark/>
          </w:tcPr>
          <w:p w14:paraId="46199027" w14:textId="77777777" w:rsidR="00684FC2" w:rsidRPr="00BA46ED" w:rsidRDefault="00684FC2" w:rsidP="009C0A9C">
            <w:pPr>
              <w:pStyle w:val="TabelaglavalevoUMAR"/>
              <w:rPr>
                <w:lang w:eastAsia="sl-SI"/>
              </w:rPr>
            </w:pPr>
            <w:r w:rsidRPr="00BA46ED">
              <w:rPr>
                <w:lang w:eastAsia="sl-SI"/>
              </w:rPr>
              <w:t>Delež prebivalcev starih nad 80 let</w:t>
            </w:r>
          </w:p>
        </w:tc>
      </w:tr>
      <w:tr w:rsidR="009A5D28" w:rsidRPr="00BA46ED" w14:paraId="00CD0A33" w14:textId="77777777" w:rsidTr="00F42BB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10105F20" w14:textId="77777777" w:rsidR="009A5D28" w:rsidRPr="00BA46ED" w:rsidRDefault="009A5D28" w:rsidP="009C0A9C">
            <w:pPr>
              <w:pStyle w:val="TabelalevoUMAR"/>
              <w:rPr>
                <w:lang w:eastAsia="sl-SI"/>
              </w:rPr>
            </w:pPr>
            <w:r w:rsidRPr="00BA46ED">
              <w:rPr>
                <w:lang w:eastAsia="sl-SI"/>
              </w:rPr>
              <w:t>Osnovni scenarij</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E1821" w14:textId="77777777" w:rsidR="009A5D28" w:rsidRPr="00BA46ED" w:rsidRDefault="009A5D28" w:rsidP="006C4BE6">
            <w:pPr>
              <w:pStyle w:val="TabeladesnoUMAR"/>
              <w:rPr>
                <w:lang w:eastAsia="sl-SI"/>
              </w:rPr>
            </w:pPr>
            <w:r w:rsidRPr="00BA46ED">
              <w:rPr>
                <w:lang w:eastAsia="sl-SI"/>
              </w:rPr>
              <w:t>5,6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08B19" w14:textId="77777777" w:rsidR="009A5D28" w:rsidRPr="00BA46ED" w:rsidRDefault="009A5D28" w:rsidP="006C4BE6">
            <w:pPr>
              <w:pStyle w:val="TabeladesnoUMAR"/>
              <w:rPr>
                <w:lang w:eastAsia="sl-SI"/>
              </w:rPr>
            </w:pPr>
            <w:r w:rsidRPr="00BA46ED">
              <w:rPr>
                <w:lang w:eastAsia="sl-SI"/>
              </w:rPr>
              <w:t>12,6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0124" w14:textId="77777777" w:rsidR="009A5D28" w:rsidRPr="00BA46ED" w:rsidRDefault="009A5D28" w:rsidP="006C4BE6">
            <w:pPr>
              <w:pStyle w:val="TabeladesnoUMAR"/>
              <w:rPr>
                <w:lang w:eastAsia="sl-SI"/>
              </w:rPr>
            </w:pPr>
            <w:r w:rsidRPr="00BA46ED">
              <w:rPr>
                <w:lang w:eastAsia="sl-SI"/>
              </w:rPr>
              <w:t>15,4</w:t>
            </w:r>
          </w:p>
        </w:tc>
        <w:tc>
          <w:tcPr>
            <w:tcW w:w="516" w:type="pct"/>
            <w:vMerge w:val="restart"/>
            <w:tcBorders>
              <w:top w:val="single" w:sz="4" w:space="0" w:color="auto"/>
              <w:left w:val="single" w:sz="4" w:space="0" w:color="auto"/>
              <w:right w:val="single" w:sz="4" w:space="0" w:color="auto"/>
            </w:tcBorders>
            <w:shd w:val="clear" w:color="auto" w:fill="auto"/>
            <w:noWrap/>
            <w:vAlign w:val="bottom"/>
            <w:hideMark/>
          </w:tcPr>
          <w:p w14:paraId="27DD677E" w14:textId="77777777" w:rsidR="009A5D28" w:rsidRPr="00BA46ED" w:rsidRDefault="009A5D28" w:rsidP="006C4BE6">
            <w:pPr>
              <w:pStyle w:val="TabeladesnoUMAR"/>
              <w:rPr>
                <w:color w:val="000000"/>
                <w:lang w:eastAsia="sl-SI"/>
              </w:rPr>
            </w:pPr>
            <w:r w:rsidRPr="00BA46ED">
              <w:rPr>
                <w:color w:val="000000"/>
                <w:lang w:eastAsia="sl-SI"/>
              </w:rPr>
              <w:t>6,1</w:t>
            </w:r>
          </w:p>
          <w:p w14:paraId="3FEA3DC8" w14:textId="77777777" w:rsidR="009A5D28" w:rsidRDefault="009A5D28" w:rsidP="006C4BE6">
            <w:pPr>
              <w:pStyle w:val="TabeladesnoUMAR"/>
              <w:rPr>
                <w:color w:val="000000"/>
                <w:lang w:eastAsia="sl-SI"/>
              </w:rPr>
            </w:pPr>
          </w:p>
          <w:p w14:paraId="777F1547" w14:textId="77777777" w:rsidR="009A5D28" w:rsidRDefault="009A5D28" w:rsidP="006C4BE6">
            <w:pPr>
              <w:pStyle w:val="TabeladesnoUMAR"/>
              <w:rPr>
                <w:color w:val="000000"/>
                <w:lang w:eastAsia="sl-SI"/>
              </w:rPr>
            </w:pPr>
          </w:p>
          <w:p w14:paraId="6079B1B8" w14:textId="19E594FD"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D269" w14:textId="77777777" w:rsidR="009A5D28" w:rsidRPr="00BA46ED" w:rsidRDefault="009A5D28" w:rsidP="006C4BE6">
            <w:pPr>
              <w:pStyle w:val="TabeladesnoUMAR"/>
              <w:rPr>
                <w:color w:val="000000"/>
                <w:lang w:eastAsia="sl-SI"/>
              </w:rPr>
            </w:pPr>
            <w:r w:rsidRPr="00BA46ED">
              <w:rPr>
                <w:color w:val="000000"/>
                <w:lang w:eastAsia="sl-SI"/>
              </w:rPr>
              <w:t>12,2</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22CBD592" w14:textId="77777777" w:rsidR="009A5D28" w:rsidRPr="00BA46ED" w:rsidRDefault="009A5D28" w:rsidP="006C4BE6">
            <w:pPr>
              <w:pStyle w:val="TabeladesnoUMAR"/>
              <w:rPr>
                <w:color w:val="000000"/>
                <w:lang w:eastAsia="sl-SI"/>
              </w:rPr>
            </w:pPr>
            <w:r w:rsidRPr="00BA46ED">
              <w:rPr>
                <w:color w:val="000000"/>
                <w:lang w:eastAsia="sl-SI"/>
              </w:rPr>
              <w:t>15,3</w:t>
            </w:r>
          </w:p>
        </w:tc>
      </w:tr>
      <w:tr w:rsidR="009A5D28" w:rsidRPr="00BA46ED" w14:paraId="44E60091" w14:textId="77777777" w:rsidTr="00F42BB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550CF6EE" w14:textId="77777777" w:rsidR="009A5D28" w:rsidRPr="00BA46ED" w:rsidRDefault="009A5D28" w:rsidP="009C0A9C">
            <w:pPr>
              <w:pStyle w:val="TabelalevoUMAR"/>
              <w:rPr>
                <w:lang w:eastAsia="sl-SI"/>
              </w:rPr>
            </w:pPr>
            <w:r w:rsidRPr="00BA46ED">
              <w:rPr>
                <w:lang w:eastAsia="sl-SI"/>
              </w:rPr>
              <w:t>Nižja rodnost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6D69EF56"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FAA9C" w14:textId="77777777" w:rsidR="009A5D28" w:rsidRPr="00BA46ED" w:rsidRDefault="009A5D28" w:rsidP="006C4BE6">
            <w:pPr>
              <w:pStyle w:val="TabeladesnoUMAR"/>
              <w:rPr>
                <w:lang w:eastAsia="sl-SI"/>
              </w:rPr>
            </w:pPr>
            <w:r w:rsidRPr="00BA46ED">
              <w:rPr>
                <w:lang w:eastAsia="sl-SI"/>
              </w:rPr>
              <w:t>13,4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0D998" w14:textId="77777777" w:rsidR="009A5D28" w:rsidRPr="00BA46ED" w:rsidRDefault="009A5D28" w:rsidP="006C4BE6">
            <w:pPr>
              <w:pStyle w:val="TabeladesnoUMAR"/>
              <w:rPr>
                <w:lang w:eastAsia="sl-SI"/>
              </w:rPr>
            </w:pPr>
            <w:r w:rsidRPr="00BA46ED">
              <w:rPr>
                <w:lang w:eastAsia="sl-SI"/>
              </w:rPr>
              <w:t>18,6</w:t>
            </w:r>
          </w:p>
        </w:tc>
        <w:tc>
          <w:tcPr>
            <w:tcW w:w="516" w:type="pct"/>
            <w:vMerge/>
            <w:tcBorders>
              <w:left w:val="single" w:sz="4" w:space="0" w:color="auto"/>
              <w:right w:val="single" w:sz="4" w:space="0" w:color="auto"/>
            </w:tcBorders>
            <w:shd w:val="clear" w:color="auto" w:fill="auto"/>
            <w:noWrap/>
            <w:vAlign w:val="bottom"/>
            <w:hideMark/>
          </w:tcPr>
          <w:p w14:paraId="79787B86" w14:textId="67A108D9"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7C5AF" w14:textId="77777777" w:rsidR="009A5D28" w:rsidRPr="00BA46ED" w:rsidRDefault="009A5D28" w:rsidP="006C4BE6">
            <w:pPr>
              <w:pStyle w:val="TabeladesnoUMAR"/>
              <w:rPr>
                <w:color w:val="000000"/>
                <w:lang w:eastAsia="sl-SI"/>
              </w:rPr>
            </w:pPr>
            <w:r w:rsidRPr="00BA46ED">
              <w:rPr>
                <w:color w:val="000000"/>
                <w:lang w:eastAsia="sl-SI"/>
              </w:rPr>
              <w:t>13,0</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76D783BE" w14:textId="77777777" w:rsidR="009A5D28" w:rsidRPr="00BA46ED" w:rsidRDefault="009A5D28" w:rsidP="006C4BE6">
            <w:pPr>
              <w:pStyle w:val="TabeladesnoUMAR"/>
              <w:rPr>
                <w:color w:val="000000"/>
                <w:lang w:eastAsia="sl-SI"/>
              </w:rPr>
            </w:pPr>
            <w:r w:rsidRPr="00BA46ED">
              <w:rPr>
                <w:color w:val="000000"/>
                <w:lang w:eastAsia="sl-SI"/>
              </w:rPr>
              <w:t>18,4</w:t>
            </w:r>
          </w:p>
        </w:tc>
      </w:tr>
      <w:tr w:rsidR="009A5D28" w:rsidRPr="00BA46ED" w14:paraId="437E7E85" w14:textId="77777777" w:rsidTr="00F42BB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46B08DEC" w14:textId="77777777" w:rsidR="009A5D28" w:rsidRPr="00BA46ED" w:rsidRDefault="009A5D28" w:rsidP="009C0A9C">
            <w:pPr>
              <w:pStyle w:val="TabelalevoUMAR"/>
              <w:rPr>
                <w:lang w:eastAsia="sl-SI"/>
              </w:rPr>
            </w:pPr>
            <w:r w:rsidRPr="00BA46ED">
              <w:rPr>
                <w:lang w:eastAsia="sl-SI"/>
              </w:rPr>
              <w:t>Nižja umrljivost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7E416901"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63623" w14:textId="77777777" w:rsidR="009A5D28" w:rsidRPr="00BA46ED" w:rsidRDefault="009A5D28" w:rsidP="006C4BE6">
            <w:pPr>
              <w:pStyle w:val="TabeladesnoUMAR"/>
              <w:rPr>
                <w:lang w:eastAsia="sl-SI"/>
              </w:rPr>
            </w:pPr>
            <w:r w:rsidRPr="00BA46ED">
              <w:rPr>
                <w:lang w:eastAsia="sl-SI"/>
              </w:rPr>
              <w:t>13,6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7B069" w14:textId="77777777" w:rsidR="009A5D28" w:rsidRPr="00BA46ED" w:rsidRDefault="009A5D28" w:rsidP="006C4BE6">
            <w:pPr>
              <w:pStyle w:val="TabeladesnoUMAR"/>
              <w:rPr>
                <w:lang w:eastAsia="sl-SI"/>
              </w:rPr>
            </w:pPr>
            <w:r w:rsidRPr="00BA46ED">
              <w:rPr>
                <w:lang w:eastAsia="sl-SI"/>
              </w:rPr>
              <w:t>17,1</w:t>
            </w:r>
          </w:p>
        </w:tc>
        <w:tc>
          <w:tcPr>
            <w:tcW w:w="516" w:type="pct"/>
            <w:vMerge/>
            <w:tcBorders>
              <w:left w:val="single" w:sz="4" w:space="0" w:color="auto"/>
              <w:right w:val="single" w:sz="4" w:space="0" w:color="auto"/>
            </w:tcBorders>
            <w:shd w:val="clear" w:color="auto" w:fill="auto"/>
            <w:noWrap/>
            <w:vAlign w:val="bottom"/>
            <w:hideMark/>
          </w:tcPr>
          <w:p w14:paraId="4D7781DD" w14:textId="35E9CA17"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DCD54" w14:textId="77777777" w:rsidR="009A5D28" w:rsidRPr="00BA46ED" w:rsidRDefault="009A5D28" w:rsidP="006C4BE6">
            <w:pPr>
              <w:pStyle w:val="TabeladesnoUMAR"/>
              <w:rPr>
                <w:color w:val="000000"/>
                <w:lang w:eastAsia="sl-SI"/>
              </w:rPr>
            </w:pPr>
            <w:r w:rsidRPr="00BA46ED">
              <w:rPr>
                <w:color w:val="000000"/>
                <w:lang w:eastAsia="sl-SI"/>
              </w:rPr>
              <w:t>13,2</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187B0BC0" w14:textId="77777777" w:rsidR="009A5D28" w:rsidRPr="00BA46ED" w:rsidRDefault="009A5D28" w:rsidP="006C4BE6">
            <w:pPr>
              <w:pStyle w:val="TabeladesnoUMAR"/>
              <w:rPr>
                <w:color w:val="000000"/>
                <w:lang w:eastAsia="sl-SI"/>
              </w:rPr>
            </w:pPr>
            <w:r w:rsidRPr="00BA46ED">
              <w:rPr>
                <w:color w:val="000000"/>
                <w:lang w:eastAsia="sl-SI"/>
              </w:rPr>
              <w:t>16,9</w:t>
            </w:r>
          </w:p>
        </w:tc>
      </w:tr>
      <w:tr w:rsidR="009A5D28" w:rsidRPr="00BA46ED" w14:paraId="66AD97C9" w14:textId="77777777" w:rsidTr="00F42BB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66C88FE0" w14:textId="77777777" w:rsidR="009A5D28" w:rsidRPr="00BA46ED" w:rsidRDefault="009A5D28" w:rsidP="009C0A9C">
            <w:pPr>
              <w:pStyle w:val="TabelalevoUMAR"/>
              <w:rPr>
                <w:lang w:eastAsia="sl-SI"/>
              </w:rPr>
            </w:pPr>
            <w:r w:rsidRPr="00BA46ED">
              <w:rPr>
                <w:lang w:eastAsia="sl-SI"/>
              </w:rPr>
              <w:t>Višji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3744833B"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B35C4" w14:textId="77777777" w:rsidR="009A5D28" w:rsidRPr="00BA46ED" w:rsidRDefault="009A5D28" w:rsidP="006C4BE6">
            <w:pPr>
              <w:pStyle w:val="TabeladesnoUMAR"/>
              <w:rPr>
                <w:lang w:eastAsia="sl-SI"/>
              </w:rPr>
            </w:pPr>
            <w:r w:rsidRPr="00BA46ED">
              <w:rPr>
                <w:lang w:eastAsia="sl-SI"/>
              </w:rPr>
              <w:t>11,7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A770B" w14:textId="77777777" w:rsidR="009A5D28" w:rsidRPr="00BA46ED" w:rsidRDefault="009A5D28" w:rsidP="006C4BE6">
            <w:pPr>
              <w:pStyle w:val="TabeladesnoUMAR"/>
              <w:rPr>
                <w:lang w:eastAsia="sl-SI"/>
              </w:rPr>
            </w:pPr>
            <w:r w:rsidRPr="00BA46ED">
              <w:rPr>
                <w:lang w:eastAsia="sl-SI"/>
              </w:rPr>
              <w:t>14,9</w:t>
            </w:r>
          </w:p>
        </w:tc>
        <w:tc>
          <w:tcPr>
            <w:tcW w:w="516" w:type="pct"/>
            <w:vMerge/>
            <w:tcBorders>
              <w:left w:val="single" w:sz="4" w:space="0" w:color="auto"/>
              <w:right w:val="single" w:sz="4" w:space="0" w:color="auto"/>
            </w:tcBorders>
            <w:shd w:val="clear" w:color="auto" w:fill="auto"/>
            <w:noWrap/>
            <w:vAlign w:val="bottom"/>
            <w:hideMark/>
          </w:tcPr>
          <w:p w14:paraId="6CB5CED7" w14:textId="23FC8291"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F2E3" w14:textId="77777777" w:rsidR="009A5D28" w:rsidRPr="00BA46ED" w:rsidRDefault="009A5D28" w:rsidP="006C4BE6">
            <w:pPr>
              <w:pStyle w:val="TabeladesnoUMAR"/>
              <w:rPr>
                <w:color w:val="000000"/>
                <w:lang w:eastAsia="sl-SI"/>
              </w:rPr>
            </w:pPr>
            <w:r w:rsidRPr="00BA46ED">
              <w:rPr>
                <w:color w:val="000000"/>
                <w:lang w:eastAsia="sl-SI"/>
              </w:rPr>
              <w:t>11,6</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728EADC7" w14:textId="77777777" w:rsidR="009A5D28" w:rsidRPr="00BA46ED" w:rsidRDefault="009A5D28" w:rsidP="006C4BE6">
            <w:pPr>
              <w:pStyle w:val="TabeladesnoUMAR"/>
              <w:rPr>
                <w:color w:val="000000"/>
                <w:lang w:eastAsia="sl-SI"/>
              </w:rPr>
            </w:pPr>
            <w:r w:rsidRPr="00BA46ED">
              <w:rPr>
                <w:color w:val="000000"/>
                <w:lang w:eastAsia="sl-SI"/>
              </w:rPr>
              <w:t>14,8</w:t>
            </w:r>
          </w:p>
        </w:tc>
      </w:tr>
      <w:tr w:rsidR="009A5D28" w:rsidRPr="00BA46ED" w14:paraId="02ADB278" w14:textId="77777777" w:rsidTr="00F42BB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2CA4FAD3" w14:textId="77777777" w:rsidR="009A5D28" w:rsidRPr="00BA46ED" w:rsidRDefault="009A5D28" w:rsidP="009C0A9C">
            <w:pPr>
              <w:pStyle w:val="TabelalevoUMAR"/>
              <w:rPr>
                <w:lang w:eastAsia="sl-SI"/>
              </w:rPr>
            </w:pPr>
            <w:r w:rsidRPr="00BA46ED">
              <w:rPr>
                <w:lang w:eastAsia="sl-SI"/>
              </w:rPr>
              <w:t>Nižji selitveni prirast</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50372D58"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367C0" w14:textId="77777777" w:rsidR="009A5D28" w:rsidRPr="00BA46ED" w:rsidRDefault="009A5D28" w:rsidP="006C4BE6">
            <w:pPr>
              <w:pStyle w:val="TabeladesnoUMAR"/>
              <w:rPr>
                <w:lang w:eastAsia="sl-SI"/>
              </w:rPr>
            </w:pPr>
            <w:r w:rsidRPr="00BA46ED">
              <w:rPr>
                <w:lang w:eastAsia="sl-SI"/>
              </w:rPr>
              <w:t>13,6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02857" w14:textId="77777777" w:rsidR="009A5D28" w:rsidRPr="00BA46ED" w:rsidRDefault="009A5D28" w:rsidP="006C4BE6">
            <w:pPr>
              <w:pStyle w:val="TabeladesnoUMAR"/>
              <w:rPr>
                <w:lang w:eastAsia="sl-SI"/>
              </w:rPr>
            </w:pPr>
            <w:r w:rsidRPr="00BA46ED">
              <w:rPr>
                <w:lang w:eastAsia="sl-SI"/>
              </w:rPr>
              <w:t>16,2</w:t>
            </w:r>
          </w:p>
        </w:tc>
        <w:tc>
          <w:tcPr>
            <w:tcW w:w="516" w:type="pct"/>
            <w:vMerge/>
            <w:tcBorders>
              <w:left w:val="single" w:sz="4" w:space="0" w:color="auto"/>
              <w:right w:val="single" w:sz="4" w:space="0" w:color="auto"/>
            </w:tcBorders>
            <w:shd w:val="clear" w:color="auto" w:fill="auto"/>
            <w:noWrap/>
            <w:vAlign w:val="bottom"/>
            <w:hideMark/>
          </w:tcPr>
          <w:p w14:paraId="6458412F" w14:textId="67806A73"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8F07" w14:textId="77777777" w:rsidR="009A5D28" w:rsidRPr="00BA46ED" w:rsidRDefault="009A5D28" w:rsidP="006C4BE6">
            <w:pPr>
              <w:pStyle w:val="TabeladesnoUMAR"/>
              <w:rPr>
                <w:color w:val="000000"/>
                <w:lang w:eastAsia="sl-SI"/>
              </w:rPr>
            </w:pPr>
            <w:r w:rsidRPr="00BA46ED">
              <w:rPr>
                <w:color w:val="000000"/>
                <w:lang w:eastAsia="sl-SI"/>
              </w:rPr>
              <w:t>12,8</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5780C90C" w14:textId="77777777" w:rsidR="009A5D28" w:rsidRPr="00BA46ED" w:rsidRDefault="009A5D28" w:rsidP="006C4BE6">
            <w:pPr>
              <w:pStyle w:val="TabeladesnoUMAR"/>
              <w:rPr>
                <w:color w:val="000000"/>
                <w:lang w:eastAsia="sl-SI"/>
              </w:rPr>
            </w:pPr>
            <w:r w:rsidRPr="00BA46ED">
              <w:rPr>
                <w:color w:val="000000"/>
                <w:lang w:eastAsia="sl-SI"/>
              </w:rPr>
              <w:t>15,9</w:t>
            </w:r>
          </w:p>
        </w:tc>
      </w:tr>
      <w:tr w:rsidR="009A5D28" w:rsidRPr="00BA46ED" w14:paraId="41D399F2" w14:textId="77777777" w:rsidTr="00F42BB0">
        <w:trPr>
          <w:trHeight w:val="264"/>
        </w:trPr>
        <w:tc>
          <w:tcPr>
            <w:tcW w:w="1731" w:type="pct"/>
            <w:tcBorders>
              <w:top w:val="single" w:sz="4" w:space="0" w:color="auto"/>
              <w:bottom w:val="single" w:sz="4" w:space="0" w:color="auto"/>
              <w:right w:val="single" w:sz="4" w:space="0" w:color="auto"/>
            </w:tcBorders>
            <w:shd w:val="clear" w:color="auto" w:fill="auto"/>
            <w:noWrap/>
            <w:vAlign w:val="center"/>
            <w:hideMark/>
          </w:tcPr>
          <w:p w14:paraId="5CA468A7" w14:textId="22018494" w:rsidR="009A5D28" w:rsidRPr="00BA46ED" w:rsidRDefault="009A5D28" w:rsidP="009C0A9C">
            <w:pPr>
              <w:pStyle w:val="TabelalevoUMAR"/>
              <w:rPr>
                <w:lang w:eastAsia="sl-SI"/>
              </w:rPr>
            </w:pPr>
            <w:r w:rsidRPr="00BA46ED">
              <w:rPr>
                <w:lang w:eastAsia="sl-SI"/>
              </w:rPr>
              <w:t xml:space="preserve">Brez </w:t>
            </w:r>
            <w:r>
              <w:rPr>
                <w:lang w:eastAsia="sl-SI"/>
              </w:rPr>
              <w:t>s</w:t>
            </w:r>
            <w:r w:rsidRPr="00BA46ED">
              <w:rPr>
                <w:lang w:eastAsia="sl-SI"/>
              </w:rPr>
              <w:t>elitvenega prirasta</w:t>
            </w: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2A4FBE51" w14:textId="77777777" w:rsidR="009A5D28" w:rsidRPr="00BA46ED" w:rsidRDefault="009A5D28" w:rsidP="006C4BE6">
            <w:pPr>
              <w:pStyle w:val="TabeladesnoUMAR"/>
              <w:rPr>
                <w:lang w:eastAsia="sl-SI"/>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E644" w14:textId="77777777" w:rsidR="009A5D28" w:rsidRPr="00BA46ED" w:rsidRDefault="009A5D28" w:rsidP="006C4BE6">
            <w:pPr>
              <w:pStyle w:val="TabeladesnoUMAR"/>
              <w:rPr>
                <w:lang w:eastAsia="sl-SI"/>
              </w:rPr>
            </w:pPr>
            <w:r w:rsidRPr="00BA46ED">
              <w:rPr>
                <w:lang w:eastAsia="sl-SI"/>
              </w:rPr>
              <w:t>14,4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2AB6C" w14:textId="77777777" w:rsidR="009A5D28" w:rsidRPr="00BA46ED" w:rsidRDefault="009A5D28" w:rsidP="006C4BE6">
            <w:pPr>
              <w:pStyle w:val="TabeladesnoUMAR"/>
              <w:rPr>
                <w:lang w:eastAsia="sl-SI"/>
              </w:rPr>
            </w:pPr>
            <w:r w:rsidRPr="00BA46ED">
              <w:rPr>
                <w:lang w:eastAsia="sl-SI"/>
              </w:rPr>
              <w:t>17,5</w:t>
            </w:r>
          </w:p>
        </w:tc>
        <w:tc>
          <w:tcPr>
            <w:tcW w:w="516" w:type="pct"/>
            <w:vMerge/>
            <w:tcBorders>
              <w:left w:val="single" w:sz="4" w:space="0" w:color="auto"/>
              <w:bottom w:val="single" w:sz="4" w:space="0" w:color="auto"/>
              <w:right w:val="single" w:sz="4" w:space="0" w:color="auto"/>
            </w:tcBorders>
            <w:shd w:val="clear" w:color="auto" w:fill="auto"/>
            <w:noWrap/>
            <w:vAlign w:val="bottom"/>
            <w:hideMark/>
          </w:tcPr>
          <w:p w14:paraId="5EB73D94" w14:textId="4C264C54" w:rsidR="009A5D28" w:rsidRPr="00BA46ED" w:rsidRDefault="009A5D28" w:rsidP="006C4BE6">
            <w:pPr>
              <w:pStyle w:val="TabeladesnoUMAR"/>
              <w:rPr>
                <w:color w:val="000000"/>
                <w:lang w:eastAsia="sl-SI"/>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22D9C" w14:textId="77777777" w:rsidR="009A5D28" w:rsidRPr="00BA46ED" w:rsidRDefault="009A5D28" w:rsidP="006C4BE6">
            <w:pPr>
              <w:pStyle w:val="TabeladesnoUMAR"/>
              <w:rPr>
                <w:color w:val="000000"/>
                <w:lang w:eastAsia="sl-SI"/>
              </w:rPr>
            </w:pPr>
            <w:r w:rsidRPr="00BA46ED">
              <w:rPr>
                <w:color w:val="000000"/>
                <w:lang w:eastAsia="sl-SI"/>
              </w:rPr>
              <w:t>13,8</w:t>
            </w:r>
          </w:p>
        </w:tc>
        <w:tc>
          <w:tcPr>
            <w:tcW w:w="515" w:type="pct"/>
            <w:tcBorders>
              <w:top w:val="single" w:sz="4" w:space="0" w:color="auto"/>
              <w:left w:val="single" w:sz="4" w:space="0" w:color="auto"/>
              <w:bottom w:val="single" w:sz="4" w:space="0" w:color="auto"/>
              <w:right w:val="nil"/>
            </w:tcBorders>
            <w:shd w:val="clear" w:color="auto" w:fill="auto"/>
            <w:noWrap/>
            <w:vAlign w:val="bottom"/>
            <w:hideMark/>
          </w:tcPr>
          <w:p w14:paraId="525C8127" w14:textId="77777777" w:rsidR="009A5D28" w:rsidRPr="00BA46ED" w:rsidRDefault="009A5D28" w:rsidP="006C4BE6">
            <w:pPr>
              <w:pStyle w:val="TabeladesnoUMAR"/>
              <w:rPr>
                <w:color w:val="000000"/>
                <w:lang w:eastAsia="sl-SI"/>
              </w:rPr>
            </w:pPr>
            <w:r w:rsidRPr="00BA46ED">
              <w:rPr>
                <w:color w:val="000000"/>
                <w:lang w:eastAsia="sl-SI"/>
              </w:rPr>
              <w:t>17,8</w:t>
            </w:r>
          </w:p>
        </w:tc>
      </w:tr>
    </w:tbl>
    <w:p w14:paraId="63BBA94B" w14:textId="38992D10" w:rsidR="00D4033C" w:rsidRPr="00EA2A47" w:rsidRDefault="00D4033C" w:rsidP="00207307">
      <w:pPr>
        <w:pStyle w:val="VirUMAR"/>
      </w:pPr>
      <w:r w:rsidRPr="00EA2A47">
        <w:t xml:space="preserve">Vir: </w:t>
      </w:r>
      <w:r w:rsidRPr="00EA2A47">
        <w:fldChar w:fldCharType="begin"/>
      </w:r>
      <w:r w:rsidR="00412DF0">
        <w:instrText xml:space="preserve"> ADDIN ZOTERO_ITEM CSL_CITATION {"citationID":"cTnvH12G","properties":{"custom":"Eurostat (2023a)","formattedCitation":"Eurostat (2023a)","plainCitation":"Eurostat (2023a)","noteIndex":0},"citationItems":[{"id":3866,"uris":["http://zotero.org/users/8040504/items/FFQIW34K"],"itemData":{"id":3866,"type":"report","event-place":"Luxembourg","genre":"podatkovna baza","publisher":"Eurostat","publisher-place":"Luxembourg","title":"Eurostat","URL":"https://ec.europa.eu/eurostat/data/database","author":[{"literal":"Eurostat"}],"issued":{"date-parts":[["2023"]]}}}],"schema":"https://github.com/citation-style-language/schema/raw/master/csl-citation.json"} </w:instrText>
      </w:r>
      <w:r w:rsidRPr="00EA2A47">
        <w:fldChar w:fldCharType="separate"/>
      </w:r>
      <w:r w:rsidRPr="00EA2A47">
        <w:t>Eurostat (2023a)</w:t>
      </w:r>
      <w:r w:rsidRPr="00EA2A47">
        <w:fldChar w:fldCharType="end"/>
      </w:r>
      <w:r w:rsidRPr="00EA2A47">
        <w:t>.</w:t>
      </w:r>
    </w:p>
    <w:p w14:paraId="38267DCF" w14:textId="37B545F1" w:rsidR="00E355D9" w:rsidRDefault="00E355D9" w:rsidP="000A74B7">
      <w:pPr>
        <w:pStyle w:val="BesediloUMAR"/>
      </w:pPr>
    </w:p>
    <w:p w14:paraId="4048FCED" w14:textId="77777777" w:rsidR="00E355D9" w:rsidRDefault="00E355D9" w:rsidP="000A74B7">
      <w:pPr>
        <w:pStyle w:val="BesediloUMAR"/>
      </w:pPr>
    </w:p>
    <w:p w14:paraId="7147B22E" w14:textId="067A5E95" w:rsidR="00125006" w:rsidRPr="00EB4D46" w:rsidRDefault="00207307" w:rsidP="00EB4D46">
      <w:pPr>
        <w:pStyle w:val="Heading1"/>
      </w:pPr>
      <w:bookmarkStart w:id="68" w:name="_Toc146283017"/>
      <w:r>
        <w:lastRenderedPageBreak/>
        <w:t>Zaključek</w:t>
      </w:r>
      <w:bookmarkEnd w:id="68"/>
    </w:p>
    <w:p w14:paraId="1D22702A" w14:textId="77777777" w:rsidR="005F28FD" w:rsidRDefault="005F28FD" w:rsidP="00AF2E43">
      <w:pPr>
        <w:pStyle w:val="BesediloUMAR"/>
        <w:rPr>
          <w:rStyle w:val="BoldpoudarekUMAR"/>
        </w:rPr>
      </w:pPr>
    </w:p>
    <w:p w14:paraId="6D4FE7CE" w14:textId="629C4996" w:rsidR="00AA6CE9" w:rsidRPr="000677D6" w:rsidRDefault="005F28FD" w:rsidP="00AF2E43">
      <w:pPr>
        <w:pStyle w:val="BesediloUMAR"/>
        <w:rPr>
          <w:rStyle w:val="VodilnistavekUMAR"/>
        </w:rPr>
      </w:pPr>
      <w:r>
        <w:rPr>
          <w:rStyle w:val="BoldpoudarekUMAR"/>
        </w:rPr>
        <w:t xml:space="preserve">Slovenija </w:t>
      </w:r>
      <w:r w:rsidR="009E3187">
        <w:rPr>
          <w:rStyle w:val="BoldpoudarekUMAR"/>
        </w:rPr>
        <w:t>je v</w:t>
      </w:r>
      <w:r>
        <w:rPr>
          <w:rStyle w:val="BoldpoudarekUMAR"/>
        </w:rPr>
        <w:t xml:space="preserve"> obdobj</w:t>
      </w:r>
      <w:r w:rsidR="00435BF3">
        <w:rPr>
          <w:rStyle w:val="BoldpoudarekUMAR"/>
        </w:rPr>
        <w:t>u</w:t>
      </w:r>
      <w:r>
        <w:rPr>
          <w:rStyle w:val="BoldpoudarekUMAR"/>
        </w:rPr>
        <w:t>, ko s</w:t>
      </w:r>
      <w:r w:rsidR="009E3187">
        <w:rPr>
          <w:rStyle w:val="BoldpoudarekUMAR"/>
        </w:rPr>
        <w:t>o se začele starati večje generacije prebivalcev</w:t>
      </w:r>
      <w:r w:rsidR="005330FD">
        <w:rPr>
          <w:rStyle w:val="BoldpoudarekUMAR"/>
        </w:rPr>
        <w:t>, mlajši pa so pripadniki manjših generacij, kar</w:t>
      </w:r>
      <w:r w:rsidR="007D4259">
        <w:rPr>
          <w:rStyle w:val="BoldpoudarekUMAR"/>
        </w:rPr>
        <w:t xml:space="preserve"> </w:t>
      </w:r>
      <w:r w:rsidR="006A7F46">
        <w:rPr>
          <w:rStyle w:val="BoldpoudarekUMAR"/>
        </w:rPr>
        <w:t xml:space="preserve">intenzivneje </w:t>
      </w:r>
      <w:r w:rsidR="00435BF3">
        <w:rPr>
          <w:rStyle w:val="BoldpoudarekUMAR"/>
        </w:rPr>
        <w:t xml:space="preserve">spreminja demografsko sliko </w:t>
      </w:r>
      <w:r w:rsidR="005330FD">
        <w:rPr>
          <w:rStyle w:val="BoldpoudarekUMAR"/>
        </w:rPr>
        <w:t xml:space="preserve">že </w:t>
      </w:r>
      <w:r>
        <w:rPr>
          <w:rStyle w:val="BoldpoudarekUMAR"/>
        </w:rPr>
        <w:t xml:space="preserve">od leta 2012. </w:t>
      </w:r>
      <w:r w:rsidR="00EF4C2B" w:rsidRPr="000677D6">
        <w:t xml:space="preserve">Število prebivalcev </w:t>
      </w:r>
      <w:r w:rsidR="00435BF3">
        <w:t>naj bi se</w:t>
      </w:r>
      <w:r w:rsidR="00EF4C2B" w:rsidRPr="000677D6">
        <w:t xml:space="preserve"> po osnovnem scenariju</w:t>
      </w:r>
      <w:r w:rsidR="001707B6">
        <w:t xml:space="preserve"> projekcij</w:t>
      </w:r>
      <w:r w:rsidR="00EF4C2B" w:rsidRPr="000677D6">
        <w:t xml:space="preserve"> začelo že kmalu zmanjševati, največji </w:t>
      </w:r>
      <w:r w:rsidR="00435BF3">
        <w:t>vpliv</w:t>
      </w:r>
      <w:r w:rsidR="00EF4C2B" w:rsidRPr="000677D6">
        <w:t xml:space="preserve"> staranja </w:t>
      </w:r>
      <w:r w:rsidR="00435BF3">
        <w:t xml:space="preserve">na sisteme socialne zaščite </w:t>
      </w:r>
      <w:r w:rsidR="00EF4C2B" w:rsidRPr="000677D6">
        <w:t xml:space="preserve">pa pričakujemo </w:t>
      </w:r>
      <w:r w:rsidR="002D29B8" w:rsidRPr="000677D6">
        <w:t>okoli</w:t>
      </w:r>
      <w:r w:rsidR="00EF4C2B" w:rsidRPr="000677D6">
        <w:t xml:space="preserve"> leta 2045, ko bi se po sedanjih </w:t>
      </w:r>
      <w:r w:rsidR="00BC0236">
        <w:t xml:space="preserve">upokojitvenih </w:t>
      </w:r>
      <w:r w:rsidR="00EF4C2B" w:rsidRPr="000677D6">
        <w:t xml:space="preserve">pogojih </w:t>
      </w:r>
      <w:r w:rsidR="00F703F6" w:rsidRPr="000677D6">
        <w:t>začele upokoje</w:t>
      </w:r>
      <w:r w:rsidR="00BC0236">
        <w:t>v</w:t>
      </w:r>
      <w:r w:rsidR="00F703F6" w:rsidRPr="000677D6">
        <w:t xml:space="preserve">ati </w:t>
      </w:r>
      <w:r w:rsidR="00EF4C2B" w:rsidRPr="000677D6">
        <w:t xml:space="preserve">oz. </w:t>
      </w:r>
      <w:r w:rsidR="00F703F6" w:rsidRPr="000677D6">
        <w:t>dosegati mejnik 65 let</w:t>
      </w:r>
      <w:r w:rsidR="00EF4C2B" w:rsidRPr="000677D6">
        <w:t xml:space="preserve"> </w:t>
      </w:r>
      <w:r w:rsidR="00F703F6" w:rsidRPr="000677D6">
        <w:t xml:space="preserve">zadnje večje generacije, rojene v 80. letih. </w:t>
      </w:r>
      <w:r w:rsidR="00435BF3">
        <w:t xml:space="preserve">Demografske spremembe bodo vplivale tudi na povečane potrebe po zdravstvenih storitvah in storitvah dolgotrajne oskrbe. </w:t>
      </w:r>
      <w:r w:rsidRPr="000677D6">
        <w:t>Slovenij</w:t>
      </w:r>
      <w:r w:rsidR="00703913">
        <w:t>a</w:t>
      </w:r>
      <w:r w:rsidRPr="000677D6">
        <w:t xml:space="preserve"> naj bi leta 2100 </w:t>
      </w:r>
      <w:r w:rsidRPr="00A246A8">
        <w:t>imela 1,951 milijona prebivalcev, kar je 156 tisoč</w:t>
      </w:r>
      <w:r w:rsidR="00AC73D9" w:rsidRPr="00A246A8">
        <w:t xml:space="preserve"> </w:t>
      </w:r>
      <w:r w:rsidRPr="00A246A8">
        <w:t>manj kot leta 2022</w:t>
      </w:r>
      <w:r w:rsidR="00F703F6" w:rsidRPr="00A246A8">
        <w:t>, od tega skoraj tretjino starejših od 65 let</w:t>
      </w:r>
      <w:r w:rsidRPr="00A246A8">
        <w:t>.</w:t>
      </w:r>
      <w:r w:rsidRPr="00A246A8">
        <w:rPr>
          <w:rStyle w:val="VodilnistavekUMAR"/>
        </w:rPr>
        <w:t xml:space="preserve"> </w:t>
      </w:r>
      <w:r w:rsidR="000677D6" w:rsidRPr="007E0D40">
        <w:t xml:space="preserve">Slovenija </w:t>
      </w:r>
      <w:r w:rsidR="00EA44C8" w:rsidRPr="007E0D40">
        <w:t>vstopa</w:t>
      </w:r>
      <w:r w:rsidR="000677D6" w:rsidRPr="007E0D40">
        <w:t xml:space="preserve"> v t. i. </w:t>
      </w:r>
      <w:r w:rsidR="00A246A8" w:rsidRPr="007E0D40">
        <w:t xml:space="preserve">peto </w:t>
      </w:r>
      <w:r w:rsidR="009432B6" w:rsidRPr="007E0D40">
        <w:t xml:space="preserve">(trenutno zadnjo dodano) </w:t>
      </w:r>
      <w:r w:rsidR="000677D6" w:rsidRPr="007E0D40">
        <w:t>fazo demografskega razvoja</w:t>
      </w:r>
      <w:r w:rsidR="00317E3D" w:rsidRPr="006E7431">
        <w:rPr>
          <w:rStyle w:val="FootnoteReference"/>
        </w:rPr>
        <w:footnoteReference w:id="17"/>
      </w:r>
      <w:r w:rsidR="000677D6" w:rsidRPr="007E0D40">
        <w:t xml:space="preserve">, kjer </w:t>
      </w:r>
      <w:r w:rsidR="00A246A8" w:rsidRPr="007E0D40">
        <w:t xml:space="preserve">je </w:t>
      </w:r>
      <w:r w:rsidR="000677D6" w:rsidRPr="007E0D40">
        <w:t xml:space="preserve">število rojenih </w:t>
      </w:r>
      <w:r w:rsidR="009432B6" w:rsidRPr="007E0D40">
        <w:t>pod naravno stopnjo obnavljanja</w:t>
      </w:r>
      <w:r w:rsidR="00A246A8" w:rsidRPr="007E0D40">
        <w:t>,</w:t>
      </w:r>
      <w:r w:rsidR="009432B6" w:rsidRPr="007E0D40">
        <w:t xml:space="preserve"> število starejših </w:t>
      </w:r>
      <w:r w:rsidR="00A246A8" w:rsidRPr="007E0D40">
        <w:t xml:space="preserve">je </w:t>
      </w:r>
      <w:r w:rsidR="009432B6" w:rsidRPr="007E0D40">
        <w:t xml:space="preserve">večje od </w:t>
      </w:r>
      <w:r w:rsidR="002D29B8" w:rsidRPr="007E0D40">
        <w:t>mladih</w:t>
      </w:r>
      <w:r w:rsidR="00A246A8" w:rsidRPr="007E0D40">
        <w:t>, skupno število prebivalcev pa bo začelo upadati</w:t>
      </w:r>
      <w:r w:rsidR="009432B6" w:rsidRPr="007E0D40">
        <w:t>.</w:t>
      </w:r>
    </w:p>
    <w:p w14:paraId="23122AB7" w14:textId="77777777" w:rsidR="005F28FD" w:rsidRDefault="005F28FD" w:rsidP="004F0201">
      <w:pPr>
        <w:pStyle w:val="BesediloUMAR"/>
        <w:rPr>
          <w:rStyle w:val="BoldpoudarekUMAR"/>
        </w:rPr>
      </w:pPr>
    </w:p>
    <w:p w14:paraId="6A8C21B7" w14:textId="2BD254BF" w:rsidR="00A17F46" w:rsidRDefault="005F28FD" w:rsidP="00404405">
      <w:pPr>
        <w:pStyle w:val="BesediloUMAR"/>
      </w:pPr>
      <w:r w:rsidRPr="00A56F0F">
        <w:rPr>
          <w:rStyle w:val="BoldpoudarekUMAR"/>
        </w:rPr>
        <w:t>Projekcije so aktualne predvsem z vidika analiziranja izzivov spreminja</w:t>
      </w:r>
      <w:r w:rsidR="001E7E56">
        <w:rPr>
          <w:rStyle w:val="BoldpoudarekUMAR"/>
        </w:rPr>
        <w:t>joče se</w:t>
      </w:r>
      <w:r w:rsidRPr="00A56F0F">
        <w:rPr>
          <w:rStyle w:val="BoldpoudarekUMAR"/>
        </w:rPr>
        <w:t xml:space="preserve"> </w:t>
      </w:r>
      <w:r>
        <w:rPr>
          <w:rStyle w:val="BoldpoudarekUMAR"/>
        </w:rPr>
        <w:t xml:space="preserve">starostne </w:t>
      </w:r>
      <w:r w:rsidRPr="00A56F0F">
        <w:rPr>
          <w:rStyle w:val="BoldpoudarekUMAR"/>
        </w:rPr>
        <w:t>strukture prebivalcev in uvajanja potrebnih odzivov politik in prilagoditev sistemov.</w:t>
      </w:r>
      <w:r w:rsidR="006A7F46">
        <w:rPr>
          <w:rStyle w:val="BoldpoudarekUMAR"/>
        </w:rPr>
        <w:t xml:space="preserve"> </w:t>
      </w:r>
      <w:r w:rsidR="00CB317C">
        <w:rPr>
          <w:rStyle w:val="VodilnistavekUMAR"/>
          <w:b w:val="0"/>
        </w:rPr>
        <w:t>Demografski razvoj</w:t>
      </w:r>
      <w:r w:rsidR="000B0C00">
        <w:rPr>
          <w:rStyle w:val="VodilnistavekUMAR"/>
          <w:b w:val="0"/>
        </w:rPr>
        <w:t xml:space="preserve"> kot se trenutno nakazuje</w:t>
      </w:r>
      <w:r w:rsidR="00216F27">
        <w:rPr>
          <w:rStyle w:val="VodilnistavekUMAR"/>
          <w:b w:val="0"/>
        </w:rPr>
        <w:t xml:space="preserve"> v vseh scenarijih</w:t>
      </w:r>
      <w:r w:rsidR="000B0C00">
        <w:rPr>
          <w:rStyle w:val="VodilnistavekUMAR"/>
          <w:b w:val="0"/>
        </w:rPr>
        <w:t>,</w:t>
      </w:r>
      <w:r w:rsidR="006A7F46">
        <w:rPr>
          <w:rStyle w:val="VodilnistavekUMAR"/>
          <w:b w:val="0"/>
        </w:rPr>
        <w:t xml:space="preserve"> </w:t>
      </w:r>
      <w:r w:rsidR="00435BF3">
        <w:rPr>
          <w:rStyle w:val="VodilnistavekUMAR"/>
          <w:b w:val="0"/>
        </w:rPr>
        <w:t xml:space="preserve">po katerih se med vsemi starostnimi skupinami </w:t>
      </w:r>
      <w:r w:rsidR="006A7F46">
        <w:rPr>
          <w:rStyle w:val="VodilnistavekUMAR"/>
          <w:b w:val="0"/>
        </w:rPr>
        <w:t>povečuje le število starejših,</w:t>
      </w:r>
      <w:r w:rsidR="007D4259">
        <w:rPr>
          <w:rStyle w:val="VodilnistavekUMAR"/>
          <w:b w:val="0"/>
        </w:rPr>
        <w:t xml:space="preserve"> </w:t>
      </w:r>
      <w:r w:rsidR="009B6A6D">
        <w:rPr>
          <w:rStyle w:val="VodilnistavekUMAR"/>
          <w:b w:val="0"/>
        </w:rPr>
        <w:t xml:space="preserve">število prebivalcev, ki plačujejo prispevke za socialno varnost pa </w:t>
      </w:r>
      <w:r w:rsidR="00CB317C">
        <w:rPr>
          <w:rStyle w:val="VodilnistavekUMAR"/>
          <w:b w:val="0"/>
        </w:rPr>
        <w:t xml:space="preserve">se </w:t>
      </w:r>
      <w:r w:rsidR="009B6A6D">
        <w:rPr>
          <w:rStyle w:val="VodilnistavekUMAR"/>
          <w:b w:val="0"/>
        </w:rPr>
        <w:t>zmanjšuje,</w:t>
      </w:r>
      <w:r w:rsidR="00A53289">
        <w:rPr>
          <w:rStyle w:val="VodilnistavekUMAR"/>
          <w:b w:val="0"/>
        </w:rPr>
        <w:t xml:space="preserve"> </w:t>
      </w:r>
      <w:r w:rsidR="009B6A6D">
        <w:rPr>
          <w:rStyle w:val="VodilnistavekUMAR"/>
          <w:b w:val="0"/>
        </w:rPr>
        <w:t>bo povečal pritisk</w:t>
      </w:r>
      <w:r w:rsidR="00A53289">
        <w:rPr>
          <w:rStyle w:val="VodilnistavekUMAR"/>
          <w:b w:val="0"/>
        </w:rPr>
        <w:t xml:space="preserve"> </w:t>
      </w:r>
      <w:r w:rsidR="009B6A6D">
        <w:rPr>
          <w:rStyle w:val="VodilnistavekUMAR"/>
          <w:b w:val="0"/>
        </w:rPr>
        <w:t xml:space="preserve">na javne finance. </w:t>
      </w:r>
      <w:r w:rsidR="00BD0D97">
        <w:rPr>
          <w:rStyle w:val="VodilnistavekUMAR"/>
          <w:b w:val="0"/>
        </w:rPr>
        <w:t>Ob višj</w:t>
      </w:r>
      <w:r w:rsidR="00F22E52">
        <w:rPr>
          <w:rStyle w:val="VodilnistavekUMAR"/>
          <w:b w:val="0"/>
        </w:rPr>
        <w:t>em selitvenem prirast</w:t>
      </w:r>
      <w:r w:rsidR="001E7E56">
        <w:rPr>
          <w:rStyle w:val="VodilnistavekUMAR"/>
          <w:b w:val="0"/>
        </w:rPr>
        <w:t>u</w:t>
      </w:r>
      <w:r w:rsidR="00BD0D97">
        <w:rPr>
          <w:rStyle w:val="VodilnistavekUMAR"/>
          <w:b w:val="0"/>
        </w:rPr>
        <w:t xml:space="preserve"> bi </w:t>
      </w:r>
      <w:r w:rsidR="003508E6">
        <w:rPr>
          <w:rStyle w:val="VodilnistavekUMAR"/>
          <w:b w:val="0"/>
        </w:rPr>
        <w:t xml:space="preserve">učinke </w:t>
      </w:r>
      <w:r w:rsidR="00BD0D97">
        <w:rPr>
          <w:rStyle w:val="VodilnistavekUMAR"/>
          <w:b w:val="0"/>
        </w:rPr>
        <w:t>staranj</w:t>
      </w:r>
      <w:r w:rsidR="003508E6">
        <w:rPr>
          <w:rStyle w:val="VodilnistavekUMAR"/>
          <w:b w:val="0"/>
        </w:rPr>
        <w:t>a na trg dela in sisteme socialne zaščite</w:t>
      </w:r>
      <w:r w:rsidR="00BD0D97">
        <w:rPr>
          <w:rStyle w:val="VodilnistavekUMAR"/>
          <w:b w:val="0"/>
        </w:rPr>
        <w:t xml:space="preserve"> </w:t>
      </w:r>
      <w:r w:rsidR="003508E6">
        <w:rPr>
          <w:rStyle w:val="VodilnistavekUMAR"/>
          <w:b w:val="0"/>
        </w:rPr>
        <w:t xml:space="preserve">lahko </w:t>
      </w:r>
      <w:r w:rsidR="00BD0D97">
        <w:rPr>
          <w:rStyle w:val="VodilnistavekUMAR"/>
          <w:b w:val="0"/>
        </w:rPr>
        <w:t xml:space="preserve">nekoliko omilili, </w:t>
      </w:r>
      <w:r w:rsidR="003508E6">
        <w:rPr>
          <w:rStyle w:val="VodilnistavekUMAR"/>
          <w:b w:val="0"/>
        </w:rPr>
        <w:t>hkrati pa bi takšen selitveni prirast (</w:t>
      </w:r>
      <w:r w:rsidR="001172C7" w:rsidRPr="007E0D40">
        <w:rPr>
          <w:rStyle w:val="VodilnistavekUMAR"/>
          <w:b w:val="0"/>
        </w:rPr>
        <w:t xml:space="preserve">skoraj 10 </w:t>
      </w:r>
      <w:r w:rsidR="003508E6" w:rsidRPr="007E0D40">
        <w:rPr>
          <w:rStyle w:val="VodilnistavekUMAR"/>
          <w:b w:val="0"/>
        </w:rPr>
        <w:t>tisoč letno v povprečju</w:t>
      </w:r>
      <w:r w:rsidR="003508E6">
        <w:rPr>
          <w:rStyle w:val="VodilnistavekUMAR"/>
          <w:b w:val="0"/>
        </w:rPr>
        <w:t xml:space="preserve"> obdobja projekcij</w:t>
      </w:r>
      <w:r w:rsidR="001172C7">
        <w:rPr>
          <w:rStyle w:val="VodilnistavekUMAR"/>
          <w:b w:val="0"/>
        </w:rPr>
        <w:t>e</w:t>
      </w:r>
      <w:r w:rsidR="003508E6">
        <w:rPr>
          <w:rStyle w:val="VodilnistavekUMAR"/>
          <w:b w:val="0"/>
        </w:rPr>
        <w:t xml:space="preserve">) zahteval </w:t>
      </w:r>
      <w:r w:rsidR="00BD0D97">
        <w:rPr>
          <w:rStyle w:val="VodilnistavekUMAR"/>
          <w:b w:val="0"/>
        </w:rPr>
        <w:t>vzpostav</w:t>
      </w:r>
      <w:r w:rsidR="003508E6">
        <w:rPr>
          <w:rStyle w:val="VodilnistavekUMAR"/>
          <w:b w:val="0"/>
        </w:rPr>
        <w:t>itev</w:t>
      </w:r>
      <w:r w:rsidR="00BD0D97">
        <w:rPr>
          <w:rStyle w:val="VodilnistavekUMAR"/>
          <w:b w:val="0"/>
        </w:rPr>
        <w:t xml:space="preserve"> dob</w:t>
      </w:r>
      <w:r w:rsidR="003508E6">
        <w:rPr>
          <w:rStyle w:val="VodilnistavekUMAR"/>
          <w:b w:val="0"/>
        </w:rPr>
        <w:t>rega</w:t>
      </w:r>
      <w:r w:rsidR="00BD0D97">
        <w:rPr>
          <w:rStyle w:val="VodilnistavekUMAR"/>
          <w:b w:val="0"/>
        </w:rPr>
        <w:t xml:space="preserve"> sistem</w:t>
      </w:r>
      <w:r w:rsidR="003508E6">
        <w:rPr>
          <w:rStyle w:val="VodilnistavekUMAR"/>
          <w:b w:val="0"/>
        </w:rPr>
        <w:t>a</w:t>
      </w:r>
      <w:r w:rsidR="00BD0D97">
        <w:rPr>
          <w:rStyle w:val="VodilnistavekUMAR"/>
          <w:b w:val="0"/>
        </w:rPr>
        <w:t xml:space="preserve"> integracije tujcev in njihovih družin v družbo ob upoštevanju njihovega ekonomskega in kulturnega zaledja. </w:t>
      </w:r>
      <w:r w:rsidR="00BF40B5">
        <w:rPr>
          <w:rStyle w:val="VodilnistavekUMAR"/>
          <w:b w:val="0"/>
        </w:rPr>
        <w:t xml:space="preserve">Staranje bo </w:t>
      </w:r>
      <w:r w:rsidR="00FD0B2B">
        <w:rPr>
          <w:rStyle w:val="VodilnistavekUMAR"/>
          <w:b w:val="0"/>
        </w:rPr>
        <w:t>ob predpostavki nespremenjenih politik</w:t>
      </w:r>
      <w:r w:rsidR="002E4336">
        <w:rPr>
          <w:rStyle w:val="VodilnistavekUMAR"/>
          <w:b w:val="0"/>
        </w:rPr>
        <w:t xml:space="preserve"> </w:t>
      </w:r>
      <w:r w:rsidR="00BF40B5">
        <w:rPr>
          <w:rStyle w:val="VodilnistavekUMAR"/>
          <w:b w:val="0"/>
        </w:rPr>
        <w:t>neizogibno vplivalo na dvig izdatkov za pokojnine, zdravstveno varstvo in dolgotrajno oskrbo</w:t>
      </w:r>
      <w:r w:rsidR="003508E6">
        <w:rPr>
          <w:rStyle w:val="VodilnistavekUMAR"/>
          <w:b w:val="0"/>
        </w:rPr>
        <w:t>, vendar pa prekomerno povečanje teh izdatkov ni vzdržno in bi izrinjalo ostale javnofinančne izdatke</w:t>
      </w:r>
      <w:r w:rsidR="00BF40B5">
        <w:rPr>
          <w:rStyle w:val="VodilnistavekUMAR"/>
          <w:b w:val="0"/>
        </w:rPr>
        <w:t>.</w:t>
      </w:r>
      <w:r w:rsidR="00296097">
        <w:rPr>
          <w:rStyle w:val="VodilnistavekUMAR"/>
          <w:b w:val="0"/>
        </w:rPr>
        <w:t xml:space="preserve"> </w:t>
      </w:r>
      <w:r w:rsidR="003508E6">
        <w:rPr>
          <w:rStyle w:val="VodilnistavekUMAR"/>
          <w:b w:val="0"/>
        </w:rPr>
        <w:t xml:space="preserve">Zato bodo potrebne spremembe, ki bodo naslovile vzdržnost sistemov socialne zaščite </w:t>
      </w:r>
      <w:r w:rsidR="003875C0">
        <w:rPr>
          <w:rStyle w:val="VodilnistavekUMAR"/>
          <w:b w:val="0"/>
        </w:rPr>
        <w:t>in</w:t>
      </w:r>
      <w:r w:rsidR="00A72BBA">
        <w:rPr>
          <w:rStyle w:val="VodilnistavekUMAR"/>
          <w:b w:val="0"/>
        </w:rPr>
        <w:t xml:space="preserve"> poiska</w:t>
      </w:r>
      <w:r w:rsidR="006310B1">
        <w:rPr>
          <w:rStyle w:val="VodilnistavekUMAR"/>
          <w:b w:val="0"/>
        </w:rPr>
        <w:t>le</w:t>
      </w:r>
      <w:r w:rsidR="00A72BBA">
        <w:rPr>
          <w:rStyle w:val="VodilnistavekUMAR"/>
          <w:b w:val="0"/>
        </w:rPr>
        <w:t xml:space="preserve"> dodatne vire financiranja</w:t>
      </w:r>
      <w:r w:rsidR="00C63A94">
        <w:rPr>
          <w:rStyle w:val="VodilnistavekUMAR"/>
          <w:b w:val="0"/>
        </w:rPr>
        <w:t>.</w:t>
      </w:r>
      <w:r w:rsidR="00881820" w:rsidRPr="006E7431">
        <w:rPr>
          <w:rStyle w:val="FootnoteReference"/>
        </w:rPr>
        <w:footnoteReference w:id="18"/>
      </w:r>
      <w:r w:rsidR="00AC73D9">
        <w:rPr>
          <w:rStyle w:val="VodilnistavekUMAR"/>
          <w:b w:val="0"/>
        </w:rPr>
        <w:t xml:space="preserve"> </w:t>
      </w:r>
    </w:p>
    <w:p w14:paraId="2D7CCA44" w14:textId="12D0AD11" w:rsidR="001908FD" w:rsidRDefault="001908FD">
      <w:pPr>
        <w:spacing w:after="0" w:line="240" w:lineRule="auto"/>
        <w:rPr>
          <w:sz w:val="20"/>
        </w:rPr>
      </w:pPr>
      <w:r>
        <w:br w:type="page"/>
      </w:r>
    </w:p>
    <w:p w14:paraId="4E7C7753" w14:textId="56347D15" w:rsidR="002044B0" w:rsidRPr="002044B0" w:rsidRDefault="005C526D" w:rsidP="002044B0">
      <w:pPr>
        <w:pStyle w:val="Heading3"/>
        <w:numPr>
          <w:ilvl w:val="0"/>
          <w:numId w:val="0"/>
        </w:numPr>
        <w:rPr>
          <w:rStyle w:val="BoldpoudarekUMAR"/>
          <w:rFonts w:cs="Arial"/>
          <w:b/>
          <w:szCs w:val="26"/>
        </w:rPr>
      </w:pPr>
      <w:bookmarkStart w:id="69" w:name="_Ref138749455"/>
      <w:bookmarkStart w:id="70" w:name="_Toc146283018"/>
      <w:r w:rsidRPr="00207307">
        <w:rPr>
          <w:sz w:val="28"/>
        </w:rPr>
        <w:lastRenderedPageBreak/>
        <w:t>Terminološki slovarček</w:t>
      </w:r>
      <w:bookmarkEnd w:id="69"/>
      <w:r w:rsidR="004820DE" w:rsidRPr="006E7431">
        <w:rPr>
          <w:rStyle w:val="FootnoteReference"/>
        </w:rPr>
        <w:footnoteReference w:id="19"/>
      </w:r>
      <w:bookmarkEnd w:id="70"/>
    </w:p>
    <w:p w14:paraId="17FA9B53" w14:textId="77777777" w:rsidR="002044B0" w:rsidRDefault="002044B0" w:rsidP="002E64C5">
      <w:pPr>
        <w:pStyle w:val="LiteraturaUMAR"/>
        <w:spacing w:before="0"/>
        <w:ind w:left="0" w:firstLine="0"/>
        <w:jc w:val="both"/>
      </w:pPr>
    </w:p>
    <w:p w14:paraId="3C4EE2B2" w14:textId="77777777" w:rsidR="00555E4D" w:rsidRDefault="00555E4D" w:rsidP="00741410">
      <w:pPr>
        <w:pStyle w:val="BesediloUMAR"/>
        <w:spacing w:after="40"/>
      </w:pPr>
      <w:r w:rsidRPr="00A352E1">
        <w:rPr>
          <w:rStyle w:val="BoldpoudarekUMAR"/>
        </w:rPr>
        <w:t xml:space="preserve">Prebivalci: </w:t>
      </w:r>
      <w:r>
        <w:t>p</w:t>
      </w:r>
      <w:r w:rsidRPr="002F0FB5">
        <w:t>rebivalec Slovenije je oseba, ne glede na državljanstvo, s prijavljenim stalnim</w:t>
      </w:r>
      <w:r>
        <w:t xml:space="preserve"> </w:t>
      </w:r>
      <w:r w:rsidRPr="002F0FB5">
        <w:t>in/ali začasnim prebivališčem v Republiki Sloveniji, ki v Sloveniji prebiva ali ima</w:t>
      </w:r>
      <w:r>
        <w:t xml:space="preserve"> </w:t>
      </w:r>
      <w:r w:rsidRPr="002F0FB5">
        <w:t>namen prebivati eno leto ali več in ni začasno odsotna iz Republike Slovenije</w:t>
      </w:r>
      <w:r>
        <w:t xml:space="preserve"> </w:t>
      </w:r>
      <w:r w:rsidRPr="002F0FB5">
        <w:t>eno leto ali več. To pomeni, da ima v Sloveniji običajno prebivališče.</w:t>
      </w:r>
      <w:r>
        <w:br/>
        <w:t>Dejavniki, ki vplivajo na časovno primerljivost:</w:t>
      </w:r>
    </w:p>
    <w:p w14:paraId="077A70F5" w14:textId="249DEFB9" w:rsidR="00555E4D" w:rsidRDefault="00555E4D" w:rsidP="00741410">
      <w:pPr>
        <w:pStyle w:val="BesediloUMAR"/>
        <w:spacing w:after="40"/>
      </w:pPr>
      <w:r>
        <w:t>- podatki do 1995 se nanašajo na državljane Slovenije s stalnim prebivališčem v Republiki Sloveniji;</w:t>
      </w:r>
    </w:p>
    <w:p w14:paraId="7F4C2305" w14:textId="77777777" w:rsidR="00555E4D" w:rsidRDefault="00555E4D" w:rsidP="00741410">
      <w:pPr>
        <w:pStyle w:val="BesediloUMAR"/>
        <w:spacing w:after="40"/>
      </w:pPr>
      <w:r>
        <w:t>- podatki med 1996 in 1. januarjem 2008 so pripravljeni v skladu z definicijo, objavljeno leta 1996, po kateri smo med prebivalce šteli: i) državljane Republike Slovenije s prijavljenim stalnim prebivališčem v Sloveniji, brez tistih, ki so v tujini odsotni več kot tri mesece in so svoj odhod prijavili v upravni enoti svojega stalnega prebivališča; ii) tujce z izdanim dovoljenjem za stalno prebivanje v Republiki Sloveniji, ki imajo prijavljeno stalno prebivališče; iii) tujce z izdanim dovoljenjem za začasno prebivanje v Republiki Sloveniji, ki imajo prijavljeno začasno prebivališče; iv) tujce z veljavnim delovnim ali poslovnim vizumom, ki imajo v Sloveniji prijavljeno začasno prebivališče; v) osebe, ki sta jim bila po zakonu o azilu priznana pravica do azila in status begunca v Republiki Sloveniji (begunci);</w:t>
      </w:r>
    </w:p>
    <w:p w14:paraId="26E8639D" w14:textId="77777777" w:rsidR="00555E4D" w:rsidRDefault="00555E4D" w:rsidP="00741410">
      <w:pPr>
        <w:pStyle w:val="BesediloUMAR"/>
        <w:spacing w:after="40"/>
      </w:pPr>
      <w:r>
        <w:t xml:space="preserve"> - od 1. 4. 2008 uporabljamo statistično definicijo prebivalstva, ki je v celoti usklajena z </w:t>
      </w:r>
      <w:r w:rsidRPr="00CC728D">
        <w:t>definicijo prebivalstva in selivcev iz Uredbe Evropskega parlamenta in Sveta o statistikah skupnosti o selitvah in mednarodni zaščiti (Uredba (ES) št. 862/2007)</w:t>
      </w:r>
      <w:r>
        <w:t xml:space="preserve"> in t</w:t>
      </w:r>
      <w:r w:rsidRPr="00CC728D">
        <w:t>emelji na konceptu običajnega prebivališča, kar v Sloveniji pomeni, da osebe, ki imajo poleg stalnega prebivališča prijavljeno najmanj eno leto tudi začasno prebivališče, štejemo za prebivalce Slovenije praviloma na naslovu začasnega prebivališča</w:t>
      </w:r>
      <w:r>
        <w:t>; p</w:t>
      </w:r>
      <w:r w:rsidRPr="00CC728D">
        <w:t>o stari definiciji smo te osebe šteli na naslovu stalnega prebivališča</w:t>
      </w:r>
      <w:r>
        <w:t xml:space="preserve">; </w:t>
      </w:r>
    </w:p>
    <w:p w14:paraId="3C424DFC" w14:textId="77777777" w:rsidR="00555E4D" w:rsidRDefault="00555E4D" w:rsidP="00555E4D">
      <w:pPr>
        <w:pStyle w:val="BesediloUMAR"/>
      </w:pPr>
      <w:r>
        <w:t>- od 1. 10. 2020 za del populacije pri uvrščanju med prebivalce uporabljamo dodatne kriterije zaradi administrativne spremembe: Zakon o prijavi prebivališča (Uradni list RS, št. 52/16), ki je začel veljati 13. 8. 2016, je v četrtem odstavku 53. člena določil, da začasen odhod z območja RS preneha štiri leta po uveljavitvi zakona (če ni prenehalo že prej). Pred 13. 8. 2016 se je namreč začasen odhod v tujino prijavljal brez časovne omejitve, po tem datumu pa prijava začasnega naslova v tujini lahko traja največ 4 leta. Glede na to je s 13. 8. 2020 začasni naslov v tujini prenehal veljati po uradni dolžnosti 22.248 posameznikom.</w:t>
      </w:r>
    </w:p>
    <w:p w14:paraId="28A608B0" w14:textId="77777777" w:rsidR="002044B0" w:rsidRDefault="002044B0" w:rsidP="002044B0">
      <w:pPr>
        <w:pStyle w:val="LiteraturaUMAR"/>
        <w:spacing w:before="0" w:line="144" w:lineRule="auto"/>
        <w:ind w:left="0" w:firstLine="0"/>
        <w:jc w:val="both"/>
        <w:rPr>
          <w:rStyle w:val="BoldpoudarekUMAR"/>
        </w:rPr>
      </w:pPr>
    </w:p>
    <w:p w14:paraId="55761314" w14:textId="53F011B0" w:rsidR="002044B0" w:rsidRDefault="002044B0" w:rsidP="00EE363D">
      <w:pPr>
        <w:pStyle w:val="LiteraturaUMAR"/>
        <w:spacing w:before="0"/>
        <w:ind w:left="0" w:firstLine="0"/>
        <w:jc w:val="both"/>
      </w:pPr>
      <w:r w:rsidRPr="00A352E1">
        <w:rPr>
          <w:rStyle w:val="BoldpoudarekUMAR"/>
        </w:rPr>
        <w:t xml:space="preserve">Celotna stopnja rodnosti: </w:t>
      </w:r>
      <w:r>
        <w:t>povprečno število živorojenih otrok na eno žensko v rodni dobi (15–49 let) v koledarskem letu. Izračunamo jo tako, da seštejemo vse vrednosti starostno-specifičnih stopenj splošne rodnosti v koledarskem letu.</w:t>
      </w:r>
    </w:p>
    <w:p w14:paraId="2062E07A" w14:textId="77777777" w:rsidR="002044B0" w:rsidRDefault="002044B0" w:rsidP="002044B0">
      <w:pPr>
        <w:pStyle w:val="LiteraturaUMAR"/>
        <w:spacing w:before="0" w:line="144" w:lineRule="auto"/>
        <w:ind w:left="0" w:firstLine="0"/>
        <w:jc w:val="both"/>
        <w:rPr>
          <w:rStyle w:val="BoldpoudarekUMAR"/>
        </w:rPr>
      </w:pPr>
    </w:p>
    <w:p w14:paraId="2DC6C354" w14:textId="107CD778" w:rsidR="002044B0" w:rsidRDefault="002044B0" w:rsidP="002E64C5">
      <w:pPr>
        <w:pStyle w:val="BesediloUMAR"/>
      </w:pPr>
      <w:r w:rsidRPr="00E24D47">
        <w:rPr>
          <w:rStyle w:val="BoldpoudarekUMAR"/>
        </w:rPr>
        <w:t>Delovno sposobni prebivalci:</w:t>
      </w:r>
      <w:r>
        <w:t xml:space="preserve"> stari 20–64 let. </w:t>
      </w:r>
      <w:r w:rsidRPr="00D00DE5">
        <w:t xml:space="preserve">Gre za skupino, ki predstavlja bazen za delovno silo in je ne smemo zamenjevati z delovno aktivnimi. Ponekod se štejejo </w:t>
      </w:r>
      <w:r>
        <w:t>v</w:t>
      </w:r>
      <w:r w:rsidRPr="00D00DE5">
        <w:t xml:space="preserve"> to skupino prebivalci v starosti 15–64 le</w:t>
      </w:r>
      <w:r>
        <w:t>t</w:t>
      </w:r>
      <w:r w:rsidRPr="00D00DE5">
        <w:t>.</w:t>
      </w:r>
    </w:p>
    <w:p w14:paraId="45EBF403" w14:textId="77777777" w:rsidR="002044B0" w:rsidRDefault="002044B0" w:rsidP="002044B0">
      <w:pPr>
        <w:pStyle w:val="LiteraturaUMAR"/>
        <w:spacing w:before="0" w:line="144" w:lineRule="auto"/>
        <w:ind w:left="0" w:firstLine="0"/>
        <w:jc w:val="both"/>
        <w:rPr>
          <w:rStyle w:val="BoldpoudarekUMAR"/>
        </w:rPr>
      </w:pPr>
    </w:p>
    <w:p w14:paraId="3D4037EB" w14:textId="2BD5D8D3" w:rsidR="002044B0" w:rsidRDefault="002044B0" w:rsidP="002E64C5">
      <w:pPr>
        <w:pStyle w:val="LiteraturaUMAR"/>
        <w:spacing w:before="0"/>
        <w:ind w:left="0" w:firstLine="0"/>
        <w:jc w:val="both"/>
      </w:pPr>
      <w:r w:rsidRPr="00600FE5">
        <w:rPr>
          <w:rStyle w:val="BoldpoudarekUMAR"/>
        </w:rPr>
        <w:t>Faze demografskega prehoda:</w:t>
      </w:r>
      <w:r>
        <w:t xml:space="preserve"> prva faza predstavlja družbo pred industrijsko revolucijo, kjer so stopnje rodnosti in umrljivosti visoke. Tako število prebivalcev ostaja pretežno enako, lahko pa zaniha ob vojnah in pandemijah. V drugi fazi se ob uporabi moderne medicine zmanjšajo stopnje umrljivosti, predvsem med otroki, stopnje rodnosti pa ostanejo visoke. Število prebivalcev raste. V tej fazi so manj razvite države. V fazi tri se večinoma zmanjšajo tudi stopnje rodnosti, zaradi izboljšanja gospodarskih pogojev, izboljšanja položaja žensk in dostopa do metod uravnavanja rojstev. Število prebivalcev se še naprej povečuje, vendar počasneje. V tej fazi je večina držav v razvoju. V četrti fazi so stopnje rodnosti in umrljivosti nizke, kar stabilizira število prebivalcev. Države imajo močnejše gospodarstvo, višje ravni izobrazbe, boljšo zdravstveno oskrbo, višji delež zaposlenih žensk in stopnjo celotne rodnosti okoli 2. Večina razvitih držav je v tej fazi. Nedavno je bila dodana še peta faza, ki bi potencialno lahko vključevala države, v katerih je stopnja rodnosti padla vidno pod nadomestitveno in kjer je več starejših prebivalcev kot mlajših, skupno število prebivalcev pa začne počasi upadati. </w:t>
      </w:r>
    </w:p>
    <w:p w14:paraId="2974FB26" w14:textId="77777777" w:rsidR="00B3724D" w:rsidRDefault="00B3724D" w:rsidP="002E64C5">
      <w:pPr>
        <w:pStyle w:val="LiteraturaUMAR"/>
        <w:spacing w:before="0"/>
        <w:ind w:left="0" w:firstLine="0"/>
        <w:jc w:val="both"/>
        <w:rPr>
          <w:rStyle w:val="BoldpoudarekUMAR"/>
        </w:rPr>
      </w:pPr>
    </w:p>
    <w:p w14:paraId="64DC7561" w14:textId="1065B8F3" w:rsidR="002445C0" w:rsidRDefault="002445C0" w:rsidP="002E64C5">
      <w:pPr>
        <w:pStyle w:val="LiteraturaUMAR"/>
        <w:spacing w:before="0"/>
        <w:ind w:left="0" w:firstLine="0"/>
        <w:jc w:val="both"/>
      </w:pPr>
      <w:r>
        <w:rPr>
          <w:rStyle w:val="BoldpoudarekUMAR"/>
        </w:rPr>
        <w:lastRenderedPageBreak/>
        <w:t xml:space="preserve">Indeks staranja: </w:t>
      </w:r>
      <w:r w:rsidR="00D55D69" w:rsidRPr="00C015D4">
        <w:rPr>
          <w:rStyle w:val="BesediloUMARChar"/>
        </w:rPr>
        <w:t>razmerje med število</w:t>
      </w:r>
      <w:r w:rsidR="00D55D69">
        <w:t xml:space="preserve"> starejših od 65 let in številom otrok (0–14 let), pomnoženo s 100.</w:t>
      </w:r>
      <w:r w:rsidR="003D2AFA">
        <w:t xml:space="preserve"> Indeks staranja pove, koliko starejših je v družbi na 100 otrok.</w:t>
      </w:r>
    </w:p>
    <w:p w14:paraId="7F3C35B7" w14:textId="77777777" w:rsidR="002445C0" w:rsidRPr="00C015D4" w:rsidRDefault="002445C0" w:rsidP="00C015D4">
      <w:pPr>
        <w:pStyle w:val="LiteraturaUMAR"/>
        <w:spacing w:before="0" w:line="144" w:lineRule="auto"/>
        <w:ind w:left="0" w:firstLine="0"/>
        <w:jc w:val="both"/>
        <w:rPr>
          <w:rStyle w:val="BoldpoudarekUMAR"/>
        </w:rPr>
      </w:pPr>
    </w:p>
    <w:p w14:paraId="63AE1A5F" w14:textId="78D785FD" w:rsidR="002044B0" w:rsidRDefault="002044B0" w:rsidP="002E64C5">
      <w:pPr>
        <w:pStyle w:val="LiteraturaUMAR"/>
        <w:spacing w:before="0"/>
        <w:ind w:left="0" w:firstLine="0"/>
        <w:jc w:val="both"/>
      </w:pPr>
      <w:r w:rsidRPr="00A352E1">
        <w:rPr>
          <w:rStyle w:val="BoldpoudarekUMAR"/>
        </w:rPr>
        <w:t>Koeficient starostne odvisnosti star</w:t>
      </w:r>
      <w:r>
        <w:rPr>
          <w:rStyle w:val="BoldpoudarekUMAR"/>
        </w:rPr>
        <w:t>ejših (krajše koeficient staranja)</w:t>
      </w:r>
      <w:r w:rsidRPr="00A352E1">
        <w:rPr>
          <w:rStyle w:val="BoldpoudarekUMAR"/>
        </w:rPr>
        <w:t>:</w:t>
      </w:r>
      <w:r>
        <w:t xml:space="preserve"> razmerje med številom starejših (65 let ali več) in številom delovno sposobnih prebivalcev (20–64 let), pomnoženo s 100. Koeficient starostne odvisnosti starejših pove, koliko starejših je odvisnih od 100 delovno sposobnih prebivalcev.</w:t>
      </w:r>
    </w:p>
    <w:p w14:paraId="291C2E36" w14:textId="77777777" w:rsidR="002044B0" w:rsidRDefault="002044B0" w:rsidP="002044B0">
      <w:pPr>
        <w:pStyle w:val="LiteraturaUMAR"/>
        <w:spacing w:before="0" w:line="144" w:lineRule="auto"/>
        <w:ind w:left="0" w:firstLine="0"/>
        <w:jc w:val="both"/>
        <w:rPr>
          <w:rStyle w:val="BoldpoudarekUMAR"/>
        </w:rPr>
      </w:pPr>
    </w:p>
    <w:p w14:paraId="29368CD9" w14:textId="6B35A56E" w:rsidR="002044B0" w:rsidRDefault="002044B0" w:rsidP="002E64C5">
      <w:pPr>
        <w:pStyle w:val="LiteraturaUMAR"/>
        <w:spacing w:before="0"/>
        <w:ind w:left="0" w:firstLine="0"/>
        <w:jc w:val="both"/>
      </w:pPr>
      <w:r w:rsidRPr="00A352E1">
        <w:rPr>
          <w:rStyle w:val="BoldpoudarekUMAR"/>
        </w:rPr>
        <w:t xml:space="preserve">Koeficient </w:t>
      </w:r>
      <w:r>
        <w:rPr>
          <w:rStyle w:val="BoldpoudarekUMAR"/>
        </w:rPr>
        <w:t xml:space="preserve">vzdrževanosti staršev: </w:t>
      </w:r>
      <w:r>
        <w:t xml:space="preserve">razmerje med številom starejših od 85 let in številom starih 50-64 let, pomnoženo s 100. </w:t>
      </w:r>
      <w:r w:rsidR="00B3724D">
        <w:t>Koeficient vzdrževanosti staršev k</w:t>
      </w:r>
      <w:r>
        <w:t>aže na obremenjenost družin s skrbjo za starejše.</w:t>
      </w:r>
    </w:p>
    <w:p w14:paraId="1B21D066" w14:textId="77777777" w:rsidR="002044B0" w:rsidRDefault="002044B0" w:rsidP="002044B0">
      <w:pPr>
        <w:pStyle w:val="LiteraturaUMAR"/>
        <w:spacing w:before="0" w:line="144" w:lineRule="auto"/>
        <w:ind w:left="0" w:firstLine="0"/>
        <w:jc w:val="both"/>
        <w:rPr>
          <w:rStyle w:val="BoldpoudarekUMAR"/>
        </w:rPr>
      </w:pPr>
    </w:p>
    <w:p w14:paraId="2CC62E9C" w14:textId="385B2185" w:rsidR="002044B0" w:rsidRDefault="002044B0" w:rsidP="00EE363D">
      <w:pPr>
        <w:pStyle w:val="BesediloUMAR"/>
      </w:pPr>
      <w:r w:rsidRPr="00E40CA4">
        <w:rPr>
          <w:rStyle w:val="BoldpoudarekUMAR"/>
        </w:rPr>
        <w:t>Mladi:</w:t>
      </w:r>
      <w:r>
        <w:t xml:space="preserve"> stari 0–19 let.</w:t>
      </w:r>
    </w:p>
    <w:p w14:paraId="26572B3D" w14:textId="77777777" w:rsidR="002044B0" w:rsidRDefault="002044B0" w:rsidP="00FC7FD2">
      <w:pPr>
        <w:pStyle w:val="LiteraturaUMAR"/>
        <w:spacing w:before="0" w:line="144" w:lineRule="auto"/>
        <w:ind w:left="0" w:firstLine="0"/>
        <w:jc w:val="both"/>
        <w:rPr>
          <w:rStyle w:val="BoldpoudarekUMAR"/>
        </w:rPr>
      </w:pPr>
    </w:p>
    <w:p w14:paraId="49F6DEFA" w14:textId="14C3606E" w:rsidR="002044B0" w:rsidRDefault="002044B0" w:rsidP="002E64C5">
      <w:pPr>
        <w:spacing w:after="0" w:line="288" w:lineRule="auto"/>
        <w:jc w:val="both"/>
        <w:rPr>
          <w:rFonts w:ascii="Myriad Pro" w:hAnsi="Myriad Pro"/>
          <w:sz w:val="20"/>
        </w:rPr>
      </w:pPr>
      <w:r w:rsidRPr="003A0CBB">
        <w:rPr>
          <w:rStyle w:val="BoldpoudarekUMAR"/>
          <w:sz w:val="20"/>
        </w:rPr>
        <w:t xml:space="preserve">Naravni prirast: </w:t>
      </w:r>
      <w:r w:rsidRPr="003A0CBB">
        <w:rPr>
          <w:rFonts w:ascii="Myriad Pro" w:hAnsi="Myriad Pro"/>
          <w:sz w:val="20"/>
        </w:rPr>
        <w:t>razlika med številom živorojenih otrok in številom umrlih na določenem območju v koledarskem letu.</w:t>
      </w:r>
    </w:p>
    <w:p w14:paraId="722DC404" w14:textId="77777777" w:rsidR="002044B0" w:rsidRDefault="002044B0" w:rsidP="00FC7FD2">
      <w:pPr>
        <w:pStyle w:val="LiteraturaUMAR"/>
        <w:spacing w:before="0" w:line="144" w:lineRule="auto"/>
        <w:ind w:left="0" w:firstLine="0"/>
        <w:jc w:val="both"/>
        <w:rPr>
          <w:rStyle w:val="BoldpoudarekUMAR"/>
        </w:rPr>
      </w:pPr>
    </w:p>
    <w:p w14:paraId="1ED50187" w14:textId="3BE59910" w:rsidR="002044B0" w:rsidRDefault="002044B0" w:rsidP="00EE363D">
      <w:pPr>
        <w:pStyle w:val="BesediloUMAR"/>
      </w:pPr>
      <w:r w:rsidRPr="00E40CA4">
        <w:rPr>
          <w:rStyle w:val="BoldpoudarekUMAR"/>
        </w:rPr>
        <w:t>Otroci:</w:t>
      </w:r>
      <w:r>
        <w:t xml:space="preserve"> stari 0–14 let.</w:t>
      </w:r>
    </w:p>
    <w:p w14:paraId="5CEA6730" w14:textId="77777777" w:rsidR="002044B0" w:rsidRDefault="002044B0" w:rsidP="00FC7FD2">
      <w:pPr>
        <w:pStyle w:val="LiteraturaUMAR"/>
        <w:spacing w:before="0" w:line="144" w:lineRule="auto"/>
        <w:ind w:left="0" w:firstLine="0"/>
        <w:jc w:val="both"/>
        <w:rPr>
          <w:rStyle w:val="BoldpoudarekUMAR"/>
        </w:rPr>
      </w:pPr>
    </w:p>
    <w:p w14:paraId="101DF6B7" w14:textId="096AAFE4" w:rsidR="002044B0" w:rsidRDefault="002044B0" w:rsidP="002E64C5">
      <w:pPr>
        <w:pStyle w:val="LiteraturaUMAR"/>
        <w:spacing w:before="0"/>
        <w:ind w:left="0" w:firstLine="0"/>
        <w:jc w:val="both"/>
      </w:pPr>
      <w:r w:rsidRPr="00E21259">
        <w:rPr>
          <w:rStyle w:val="BoldpoudarekUMAR"/>
        </w:rPr>
        <w:t>Presežna umrljivost</w:t>
      </w:r>
      <w:r w:rsidRPr="00B54226">
        <w:rPr>
          <w:rStyle w:val="BoldpoudarekUMAR"/>
        </w:rPr>
        <w:t>:</w:t>
      </w:r>
      <w:r>
        <w:t xml:space="preserve"> število umrlih v določenem letu v primerjavi s povprečnim številom umrlih v preteklih petih letih. Izjema je obdobje 2021–2022, ko se presežna umrljivost računa na obdobje 2015–2019 (in ne 2016–2020 oz. 2017–2022).</w:t>
      </w:r>
    </w:p>
    <w:p w14:paraId="5DCBA95A" w14:textId="77777777" w:rsidR="002044B0" w:rsidRDefault="002044B0" w:rsidP="00FC7FD2">
      <w:pPr>
        <w:pStyle w:val="LiteraturaUMAR"/>
        <w:spacing w:before="0" w:line="144" w:lineRule="auto"/>
        <w:ind w:left="0" w:firstLine="0"/>
        <w:jc w:val="both"/>
        <w:rPr>
          <w:rStyle w:val="BoldpoudarekUMAR"/>
        </w:rPr>
      </w:pPr>
    </w:p>
    <w:p w14:paraId="688E8273" w14:textId="2000E7DC" w:rsidR="002044B0" w:rsidRDefault="002044B0" w:rsidP="002E64C5">
      <w:pPr>
        <w:pStyle w:val="LiteraturaUMAR"/>
        <w:spacing w:before="0"/>
        <w:ind w:left="0" w:firstLine="0"/>
        <w:jc w:val="both"/>
      </w:pPr>
      <w:r w:rsidRPr="00B54226">
        <w:rPr>
          <w:rStyle w:val="BoldpoudarekUMAR"/>
        </w:rPr>
        <w:t>Prezgodnja umrljivost:</w:t>
      </w:r>
      <w:r>
        <w:t xml:space="preserve"> d</w:t>
      </w:r>
      <w:r w:rsidRPr="00BD3E59">
        <w:t>elež umrlih</w:t>
      </w:r>
      <w:r>
        <w:t>,</w:t>
      </w:r>
      <w:r w:rsidRPr="00BD3E59">
        <w:t xml:space="preserve"> mlajših od 65 let</w:t>
      </w:r>
      <w:r>
        <w:t>,</w:t>
      </w:r>
      <w:r w:rsidRPr="00BD3E59">
        <w:t xml:space="preserve"> med vsemi umrlimi v koledarskem letu.</w:t>
      </w:r>
    </w:p>
    <w:p w14:paraId="5EA9ABC1" w14:textId="77777777" w:rsidR="002044B0" w:rsidRDefault="002044B0" w:rsidP="00FC7FD2">
      <w:pPr>
        <w:pStyle w:val="LiteraturaUMAR"/>
        <w:spacing w:before="0" w:line="144" w:lineRule="auto"/>
        <w:ind w:left="0" w:firstLine="0"/>
        <w:jc w:val="both"/>
        <w:rPr>
          <w:rStyle w:val="BoldpoudarekUMAR"/>
        </w:rPr>
      </w:pPr>
    </w:p>
    <w:p w14:paraId="3E2F69EB" w14:textId="31C7F25D" w:rsidR="002044B0" w:rsidRDefault="002044B0" w:rsidP="002E64C5">
      <w:pPr>
        <w:pStyle w:val="LiteraturaUMAR"/>
        <w:spacing w:before="0"/>
        <w:ind w:left="0" w:firstLine="0"/>
        <w:jc w:val="both"/>
      </w:pPr>
      <w:r w:rsidRPr="00015946">
        <w:rPr>
          <w:rStyle w:val="BoldpoudarekUMAR"/>
        </w:rPr>
        <w:t xml:space="preserve">Pričakovano trajanje življenja: </w:t>
      </w:r>
      <w:r>
        <w:t>p</w:t>
      </w:r>
      <w:r w:rsidRPr="005A60BC">
        <w:t>ovprečno število let življenja, ki jih lahko pričakuje oseba, stara x let, če bo umrljivost po starosti v času njenega življenja enaka vrednostim umrljivosti v tablicah umrljivosti za opazovano leto. Zaradi različne metodologije se podatki Eurostata (primerljivost z EU) in SURS nekoliko razlikujejo.</w:t>
      </w:r>
    </w:p>
    <w:p w14:paraId="457BD6F1" w14:textId="77777777" w:rsidR="002044B0" w:rsidRDefault="002044B0" w:rsidP="00FC7FD2">
      <w:pPr>
        <w:pStyle w:val="LiteraturaUMAR"/>
        <w:spacing w:before="0" w:line="144" w:lineRule="auto"/>
        <w:ind w:left="0" w:firstLine="0"/>
        <w:jc w:val="both"/>
        <w:rPr>
          <w:rStyle w:val="BoldpoudarekUMAR"/>
        </w:rPr>
      </w:pPr>
    </w:p>
    <w:p w14:paraId="462EE58D" w14:textId="79B1180F" w:rsidR="002044B0" w:rsidRDefault="002044B0" w:rsidP="002E64C5">
      <w:pPr>
        <w:pStyle w:val="LiteraturaUMAR"/>
        <w:spacing w:before="0"/>
        <w:ind w:left="0" w:firstLine="0"/>
        <w:jc w:val="both"/>
      </w:pPr>
      <w:r w:rsidRPr="00015946">
        <w:rPr>
          <w:rStyle w:val="BoldpoudarekUMAR"/>
        </w:rPr>
        <w:t xml:space="preserve">Selitveni prirast: </w:t>
      </w:r>
      <w:r>
        <w:t xml:space="preserve">razlika med številom priseljenih in odseljenih na določenem območju v koledarskem letu. Selitveni prirast na 1000 prebivalcev (selitveni koeficient) je razmerje med selitvenim prirastom v koledarskem letu in številom </w:t>
      </w:r>
      <w:r w:rsidR="00ED3B6A">
        <w:t xml:space="preserve">prebivalcev </w:t>
      </w:r>
      <w:r>
        <w:t>sredi istega leta, na določenem območju, pomnoženo s 1000.</w:t>
      </w:r>
    </w:p>
    <w:p w14:paraId="2393EB98" w14:textId="77777777" w:rsidR="002044B0" w:rsidRDefault="002044B0" w:rsidP="00FC7FD2">
      <w:pPr>
        <w:pStyle w:val="LiteraturaUMAR"/>
        <w:spacing w:before="0" w:line="144" w:lineRule="auto"/>
        <w:ind w:left="0" w:firstLine="0"/>
        <w:jc w:val="both"/>
        <w:rPr>
          <w:rStyle w:val="BoldpoudarekUMAR"/>
        </w:rPr>
      </w:pPr>
    </w:p>
    <w:p w14:paraId="102930DC" w14:textId="4B29F474" w:rsidR="002044B0" w:rsidRDefault="002044B0" w:rsidP="002E64C5">
      <w:pPr>
        <w:pStyle w:val="LiteraturaUMAR"/>
        <w:spacing w:before="0"/>
        <w:ind w:left="0" w:firstLine="0"/>
        <w:jc w:val="both"/>
      </w:pPr>
      <w:r w:rsidRPr="00171151">
        <w:rPr>
          <w:rStyle w:val="BoldpoudarekUMAR"/>
        </w:rPr>
        <w:t>Splošna stopnja splošne rodnosti</w:t>
      </w:r>
      <w:r>
        <w:t>: je razmerje med številom živorojenih v koledarskem letu in številom žensk v rodni dobi (15–49 let) sredi istega leta, pomnoženo s 1000.</w:t>
      </w:r>
    </w:p>
    <w:p w14:paraId="32C40C9E" w14:textId="77777777" w:rsidR="002044B0" w:rsidRDefault="002044B0" w:rsidP="00FC7FD2">
      <w:pPr>
        <w:pStyle w:val="LiteraturaUMAR"/>
        <w:spacing w:before="0" w:line="144" w:lineRule="auto"/>
        <w:ind w:left="0" w:firstLine="0"/>
        <w:jc w:val="both"/>
        <w:rPr>
          <w:rStyle w:val="BoldpoudarekUMAR"/>
        </w:rPr>
      </w:pPr>
    </w:p>
    <w:p w14:paraId="2D3A6E71" w14:textId="2DB5CE9C" w:rsidR="002044B0" w:rsidRDefault="002044B0" w:rsidP="002E64C5">
      <w:pPr>
        <w:pStyle w:val="LiteraturaUMAR"/>
        <w:spacing w:before="0"/>
        <w:ind w:left="0" w:firstLine="0"/>
        <w:jc w:val="both"/>
      </w:pPr>
      <w:r w:rsidRPr="00015946">
        <w:rPr>
          <w:rStyle w:val="BoldpoudarekUMAR"/>
        </w:rPr>
        <w:t>S</w:t>
      </w:r>
      <w:r>
        <w:rPr>
          <w:rStyle w:val="BoldpoudarekUMAR"/>
        </w:rPr>
        <w:t>plošna s</w:t>
      </w:r>
      <w:r w:rsidRPr="00015946">
        <w:rPr>
          <w:rStyle w:val="BoldpoudarekUMAR"/>
        </w:rPr>
        <w:t>topnja umrljivosti:</w:t>
      </w:r>
      <w:r>
        <w:t xml:space="preserve"> število umrlih v koledarskem letu deljeno s številom prebivalcev pomnoženo s 1000. Kaže pogostost smrti med prebivalci in število umrlih na 1000 prebivalcev.</w:t>
      </w:r>
    </w:p>
    <w:p w14:paraId="435D3996" w14:textId="77777777" w:rsidR="002044B0" w:rsidRDefault="002044B0" w:rsidP="00FC7FD2">
      <w:pPr>
        <w:pStyle w:val="LiteraturaUMAR"/>
        <w:spacing w:before="0" w:line="144" w:lineRule="auto"/>
        <w:ind w:left="0" w:firstLine="0"/>
        <w:jc w:val="both"/>
        <w:rPr>
          <w:rStyle w:val="BoldpoudarekUMAR"/>
        </w:rPr>
      </w:pPr>
    </w:p>
    <w:p w14:paraId="35ABA4E4" w14:textId="706A9183" w:rsidR="002044B0" w:rsidRDefault="002044B0" w:rsidP="00EE363D">
      <w:pPr>
        <w:pStyle w:val="BesediloUMAR"/>
      </w:pPr>
      <w:r w:rsidRPr="00E24D47">
        <w:rPr>
          <w:rStyle w:val="BoldpoudarekUMAR"/>
        </w:rPr>
        <w:t>Starejši prebivalci:</w:t>
      </w:r>
      <w:r>
        <w:t xml:space="preserve"> stari nad 65 let.</w:t>
      </w:r>
    </w:p>
    <w:p w14:paraId="5ADDB06E" w14:textId="77777777" w:rsidR="002044B0" w:rsidRDefault="002044B0" w:rsidP="00FC7FD2">
      <w:pPr>
        <w:pStyle w:val="LiteraturaUMAR"/>
        <w:spacing w:before="0" w:line="144" w:lineRule="auto"/>
        <w:ind w:left="0" w:firstLine="0"/>
        <w:jc w:val="both"/>
        <w:rPr>
          <w:rStyle w:val="BoldpoudarekUMAR"/>
        </w:rPr>
      </w:pPr>
    </w:p>
    <w:p w14:paraId="14E18F61" w14:textId="2963205F" w:rsidR="002044B0" w:rsidRDefault="002044B0" w:rsidP="002E64C5">
      <w:pPr>
        <w:pStyle w:val="LiteraturaUMAR"/>
        <w:spacing w:before="0"/>
        <w:ind w:left="0" w:firstLine="0"/>
        <w:jc w:val="both"/>
      </w:pPr>
      <w:r w:rsidRPr="00015946">
        <w:rPr>
          <w:rStyle w:val="BoldpoudarekUMAR"/>
        </w:rPr>
        <w:t>Starostno-specifična stopnja splošne rodnosti:</w:t>
      </w:r>
      <w:r>
        <w:t xml:space="preserve"> razmerje med številom živorojenih otrok, ki so jih rodile v koledarskem letu matere določene starosti, in številom žensk te starosti sredi istega leta, pomnoženo s 1000.</w:t>
      </w:r>
    </w:p>
    <w:p w14:paraId="660397CE" w14:textId="77777777" w:rsidR="002044B0" w:rsidRDefault="002044B0" w:rsidP="00FC7FD2">
      <w:pPr>
        <w:pStyle w:val="LiteraturaUMAR"/>
        <w:spacing w:before="0" w:line="144" w:lineRule="auto"/>
        <w:ind w:left="0" w:firstLine="0"/>
        <w:jc w:val="both"/>
        <w:rPr>
          <w:rStyle w:val="BoldpoudarekUMAR"/>
        </w:rPr>
      </w:pPr>
    </w:p>
    <w:p w14:paraId="2C4639D5" w14:textId="0CEFC920" w:rsidR="002044B0" w:rsidRPr="000277E0" w:rsidRDefault="002044B0" w:rsidP="002E64C5">
      <w:pPr>
        <w:pStyle w:val="LiteraturaUMAR"/>
        <w:spacing w:before="0"/>
        <w:ind w:left="0" w:firstLine="0"/>
        <w:jc w:val="both"/>
        <w:rPr>
          <w:rStyle w:val="BoldpoudarekUMAR"/>
        </w:rPr>
      </w:pPr>
      <w:r w:rsidRPr="000277E0">
        <w:rPr>
          <w:rStyle w:val="BoldpoudarekUMAR"/>
        </w:rPr>
        <w:t>Stopnja splošne selivnosti</w:t>
      </w:r>
      <w:r>
        <w:rPr>
          <w:rStyle w:val="BoldpoudarekUMAR"/>
        </w:rPr>
        <w:t xml:space="preserve">: </w:t>
      </w:r>
      <w:r>
        <w:t xml:space="preserve">število neto selitev v koledarskem letu, deljeno s številom prebivalcev in pomnoženo s 1000. </w:t>
      </w:r>
    </w:p>
    <w:p w14:paraId="647CC393" w14:textId="77777777" w:rsidR="002044B0" w:rsidRDefault="002044B0" w:rsidP="00FC7FD2">
      <w:pPr>
        <w:pStyle w:val="LiteraturaUMAR"/>
        <w:spacing w:before="0" w:line="144" w:lineRule="auto"/>
        <w:ind w:left="0" w:firstLine="0"/>
        <w:jc w:val="both"/>
        <w:rPr>
          <w:rStyle w:val="BoldpoudarekUMAR"/>
        </w:rPr>
      </w:pPr>
    </w:p>
    <w:p w14:paraId="1D255FB2" w14:textId="495F34E3" w:rsidR="002044B0" w:rsidRPr="00B25A28" w:rsidRDefault="002044B0" w:rsidP="00B25A28">
      <w:pPr>
        <w:pStyle w:val="LiteraturaUMAR"/>
        <w:spacing w:before="0"/>
        <w:ind w:left="0" w:firstLine="0"/>
        <w:jc w:val="both"/>
        <w:rPr>
          <w:rStyle w:val="BoldpoudarekUMAR"/>
          <w:b w:val="0"/>
        </w:rPr>
      </w:pPr>
      <w:r w:rsidRPr="009355C6">
        <w:rPr>
          <w:rStyle w:val="BoldpoudarekUMAR"/>
        </w:rPr>
        <w:t>Ženske v rodni dobi:</w:t>
      </w:r>
      <w:r w:rsidRPr="00B25A28">
        <w:rPr>
          <w:rStyle w:val="BoldpoudarekUMAR"/>
        </w:rPr>
        <w:t xml:space="preserve"> </w:t>
      </w:r>
      <w:r w:rsidRPr="00B25A28">
        <w:rPr>
          <w:rStyle w:val="BesediloUMARChar"/>
        </w:rPr>
        <w:t>stare 15-49 let.</w:t>
      </w:r>
      <w:r w:rsidRPr="00B25A28">
        <w:rPr>
          <w:rStyle w:val="BoldpoudarekUMAR"/>
        </w:rPr>
        <w:t xml:space="preserve"> </w:t>
      </w:r>
      <w:r w:rsidRPr="00B25A28">
        <w:rPr>
          <w:rStyle w:val="BoldpoudarekUMAR"/>
        </w:rPr>
        <w:br w:type="page"/>
      </w:r>
    </w:p>
    <w:p w14:paraId="27685311" w14:textId="50671D9C" w:rsidR="001908FD" w:rsidRPr="00207307" w:rsidRDefault="001908FD" w:rsidP="001908FD">
      <w:pPr>
        <w:pStyle w:val="Heading3"/>
        <w:numPr>
          <w:ilvl w:val="0"/>
          <w:numId w:val="0"/>
        </w:numPr>
        <w:rPr>
          <w:sz w:val="28"/>
        </w:rPr>
      </w:pPr>
      <w:bookmarkStart w:id="71" w:name="_Toc146283019"/>
      <w:r w:rsidRPr="00207307">
        <w:rPr>
          <w:sz w:val="28"/>
        </w:rPr>
        <w:lastRenderedPageBreak/>
        <w:t>Literatura in viri</w:t>
      </w:r>
      <w:bookmarkEnd w:id="71"/>
      <w:r w:rsidR="001E3FC4" w:rsidRPr="00207307">
        <w:rPr>
          <w:rFonts w:cs="Times New Roman"/>
          <w:sz w:val="22"/>
          <w:szCs w:val="24"/>
        </w:rPr>
        <w:t xml:space="preserve"> </w:t>
      </w:r>
    </w:p>
    <w:p w14:paraId="68478E23" w14:textId="77777777" w:rsidR="001908FD" w:rsidRDefault="001908FD" w:rsidP="001908FD">
      <w:pPr>
        <w:pStyle w:val="Heading3"/>
        <w:numPr>
          <w:ilvl w:val="0"/>
          <w:numId w:val="0"/>
        </w:numPr>
      </w:pPr>
    </w:p>
    <w:p w14:paraId="5CB0094F" w14:textId="77777777" w:rsidR="007048ED" w:rsidRPr="007048ED" w:rsidRDefault="00B353D5" w:rsidP="005E5875">
      <w:pPr>
        <w:pStyle w:val="Bibliography"/>
        <w:spacing w:after="120" w:line="288" w:lineRule="auto"/>
        <w:rPr>
          <w:rFonts w:ascii="Myriad Pro" w:hAnsi="Myriad Pro" w:cs="Times New Roman"/>
          <w:sz w:val="20"/>
          <w:szCs w:val="24"/>
        </w:rPr>
      </w:pPr>
      <w:r>
        <w:fldChar w:fldCharType="begin"/>
      </w:r>
      <w:r w:rsidR="007048ED">
        <w:instrText xml:space="preserve"> ADDIN ZOTERO_BIBL {"uncited":[["http://zotero.org/users/8040504/items/D3QU6NP4"],["http://zotero.org/users/8040504/items/N228SQMR"],["http://zotero.org/users/8040504/items/USNJLK42"],["http://zotero.org/users/8040504/items/NFWJ9ANA"],["http://zotero.org/users/8040504/items/7DPFSNU7"],["http://zotero.org/users/8040504/items/NVGG4SIF"],["http://zotero.org/users/8040504/items/4QSF5FZ3"],["http://zotero.org/users/8040504/items/BVY82SGJ"],["http://zotero.org/users/8040504/items/EGTIR2ZN"],["http://zotero.org/users/8040504/items/GJEHQ6QG"],["http://zotero.org/users/8040504/items/JWDGR6GU"],["http://zotero.org/users/8040504/items/WZWUA5ZV"],["http://zotero.org/users/8040504/items/EH4Z3NF6"],["http://zotero.org/users/8040504/items/KEC56WCS"],["http://zotero.org/users/8040504/items/MJXW884X"],["http://zotero.org/users/8040504/items/842IJGIC"],["http://zotero.org/users/8040504/items/MRKH539I"],["http://zotero.org/users/8040504/items/RBUF22WD"],["http://zotero.org/users/8040504/items/FFQIW34K"],["http://zotero.org/users/8040504/items/5SQ9I569"],["http://zotero.org/users/8040504/items/JD9DEJ82"],["http://zotero.org/users/8040504/items/4UVVHUMA"],["http://zotero.org/users/8040504/items/ILSIE6RX"]],"omitted":[],"custom":[]} CSL_BIBLIOGRAPHY </w:instrText>
      </w:r>
      <w:r>
        <w:fldChar w:fldCharType="separate"/>
      </w:r>
      <w:r w:rsidR="007048ED" w:rsidRPr="007048ED">
        <w:rPr>
          <w:rFonts w:ascii="Myriad Pro" w:hAnsi="Myriad Pro" w:cs="Times New Roman"/>
          <w:sz w:val="20"/>
          <w:szCs w:val="24"/>
        </w:rPr>
        <w:t>Eurostat. (2023a). Eurostat [podatkovna baza]. Luxembourg: Eurostat. Pridobljeno s https://ec.europa.eu/eurostat/data/database</w:t>
      </w:r>
    </w:p>
    <w:p w14:paraId="68620100"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Eurostat. (2023b). Population and demography. Population projections. Pridobljeno s https://ec.europa.eu/eurostat/web/population-demography/population-projections/</w:t>
      </w:r>
    </w:p>
    <w:p w14:paraId="12CD4D05"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Eurostat. (2023c). Statisctics Explained. Population projections in the EU. Eurostat. Pridobljeno s https://ec.europa.eu/eurostat/statistics-explained/index.php?oldid=497115</w:t>
      </w:r>
    </w:p>
    <w:p w14:paraId="6910817F"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Eurostat. (2023d). Statisctics Explained. Population projections in the EU – methodology. Eurostat. Pridobljeno s https://ec.europa.eu/eurostat/statistics-explained/index.php?title=Population_projections_in_the_EU_-_methodology</w:t>
      </w:r>
    </w:p>
    <w:p w14:paraId="3944C652"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 xml:space="preserve">Kraigher, T. in Ferk, B. (2013). </w:t>
      </w:r>
      <w:r w:rsidRPr="007048ED">
        <w:rPr>
          <w:rFonts w:ascii="Myriad Pro" w:hAnsi="Myriad Pro" w:cs="Times New Roman"/>
          <w:i/>
          <w:iCs/>
          <w:sz w:val="20"/>
          <w:szCs w:val="24"/>
        </w:rPr>
        <w:t>Delovna projekcija prebivalstva Slovenije</w:t>
      </w:r>
      <w:r w:rsidRPr="007048ED">
        <w:rPr>
          <w:rFonts w:ascii="Myriad Pro" w:hAnsi="Myriad Pro" w:cs="Times New Roman"/>
          <w:sz w:val="20"/>
          <w:szCs w:val="24"/>
        </w:rPr>
        <w:t>. Ljubljana: UMAR. Pridobljeno s https://www.umar.gov.si/fileadmin/user_upload/publikacije/dz/2013/dz03-13.pdf</w:t>
      </w:r>
    </w:p>
    <w:p w14:paraId="1E7901D2"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NIJZ. (2023). NIJZ podatkovni portal [podatkovna baza]. Ljubljana. Pridobljeno s https://podatki.nijz.si/pxweb/sl/NIJZ%20podatkovni%20portal/</w:t>
      </w:r>
    </w:p>
    <w:p w14:paraId="23479A73"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 xml:space="preserve">OECD. (2022). </w:t>
      </w:r>
      <w:r w:rsidRPr="007048ED">
        <w:rPr>
          <w:rFonts w:ascii="Myriad Pro" w:hAnsi="Myriad Pro" w:cs="Times New Roman"/>
          <w:i/>
          <w:iCs/>
          <w:sz w:val="20"/>
          <w:szCs w:val="24"/>
        </w:rPr>
        <w:t>Health at a Glance: Europe 2022: State of Health in the EU Cycle</w:t>
      </w:r>
      <w:r w:rsidRPr="007048ED">
        <w:rPr>
          <w:rFonts w:ascii="Myriad Pro" w:hAnsi="Myriad Pro" w:cs="Times New Roman"/>
          <w:sz w:val="20"/>
          <w:szCs w:val="24"/>
        </w:rPr>
        <w:t>. Pariz: Organisation for Economic Co-operation and Development. Pridobljeno s https://www.oecd-ilibrary.org/social-issues-migration-health/health-at-a-glance-europe-2022_507433b0-en</w:t>
      </w:r>
    </w:p>
    <w:p w14:paraId="0CFCFA5C"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 xml:space="preserve">OECD in EU. (2020). </w:t>
      </w:r>
      <w:r w:rsidRPr="007048ED">
        <w:rPr>
          <w:rFonts w:ascii="Myriad Pro" w:hAnsi="Myriad Pro" w:cs="Times New Roman"/>
          <w:i/>
          <w:iCs/>
          <w:sz w:val="20"/>
          <w:szCs w:val="24"/>
        </w:rPr>
        <w:t>Health at a Glance: Europe 2020: State of Health in the EU Cycle</w:t>
      </w:r>
      <w:r w:rsidRPr="007048ED">
        <w:rPr>
          <w:rFonts w:ascii="Myriad Pro" w:hAnsi="Myriad Pro" w:cs="Times New Roman"/>
          <w:sz w:val="20"/>
          <w:szCs w:val="24"/>
        </w:rPr>
        <w:t>. OECD. https://doi.org/10.1787/82129230-en</w:t>
      </w:r>
    </w:p>
    <w:p w14:paraId="601D40F6"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Population Education. (2023). What is the Demographic Transition Model? Pridobljeno s https://populationeducation.org/what-demographic-transition-model/</w:t>
      </w:r>
    </w:p>
    <w:p w14:paraId="5D51F748"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Razpotnik, B. (2021a). Prebivalstvo. Metodološko pojasnilo. Statistični urad RS. Pridobljeno s https://www.stat.si/statweb/File/DocSysFile/7808</w:t>
      </w:r>
    </w:p>
    <w:p w14:paraId="2C885DCC"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Razpotnik, B. (2021b). Prebivalstvo, Slovenija, 1. oktober 2020. 1. oktobra 2020 v Sloveniji 2.111.461 prebivalcev ali 0,5 % več kot tri mesece prej. Končni podatki. Pridobljeno s https://www.stat.si/StatWeb/News/Index/9347</w:t>
      </w:r>
    </w:p>
    <w:p w14:paraId="06833062"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Razpotnik, B. (2023). Projekcije prebivalstva EUROPOP2023 za Slovenijo. EUROPOP2023: projekcije za prihodnja desetletja predvidevajo nadaljnje staranje prebivalstva. Pridobljeno s https://www.stat.si/StatWeb/News/Index/11124</w:t>
      </w:r>
    </w:p>
    <w:p w14:paraId="71E3C7D6"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Razpotnik, B., Šter, D. in Žnidaršič, M. (2021). Demografski dogodki, Slovenija, 3. četrtletje 2020. V 3. četrtletju leta 2020 pozitivna naravni in selitveni prirast. Začasni podatki. Pridobljeno s https://www.stat.si/StatWeb/News/Index/9353</w:t>
      </w:r>
    </w:p>
    <w:p w14:paraId="4A764B56"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 xml:space="preserve">Sambt, J., Istenič, T., Farčnik, D. in Viršček, A. (2021). Precenjenost presežne umrljivosti za Slovenijo v letu 2020. V: </w:t>
      </w:r>
      <w:r w:rsidRPr="007048ED">
        <w:rPr>
          <w:rFonts w:ascii="Myriad Pro" w:hAnsi="Myriad Pro" w:cs="Times New Roman"/>
          <w:i/>
          <w:iCs/>
          <w:sz w:val="20"/>
          <w:szCs w:val="24"/>
        </w:rPr>
        <w:t>Zbornik 24. mednarodne multikonference: informacijska družba IS 2021, zvezek F</w:t>
      </w:r>
      <w:r w:rsidRPr="007048ED">
        <w:rPr>
          <w:rFonts w:ascii="Myriad Pro" w:hAnsi="Myriad Pro" w:cs="Times New Roman"/>
          <w:sz w:val="20"/>
          <w:szCs w:val="24"/>
        </w:rPr>
        <w:t>. Ljubljana. Pridobljeno s https://is.ijs.si/wp-content/uploads/2021/10/IS2021_Volume_F-TEMP-2.pdf</w:t>
      </w:r>
    </w:p>
    <w:p w14:paraId="3734FFFA"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Sledilnik. (2023). Smrti na covid oddelkih [po podatkih MZ] [podatkovna baza]. Ljubljana: Sledilnik. Pridobljeno s https://github.com/sledilnik/data/blob/master/csv/stats.csv</w:t>
      </w:r>
    </w:p>
    <w:p w14:paraId="074CFC94"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Statistični urad RS. (2023). Prebivalstvo. Spremenjena statistična definicija prebivalstva. Pridobljeno 27. 6. 2023 s https://www.stat.si/obcine/sl/Theme/Index/PrebivalstvoDefinicija</w:t>
      </w:r>
    </w:p>
    <w:p w14:paraId="2F827CAE"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SURS. (2023). Si-Stat [podatkovna baza]. Ljubljana: Statistični urad RS. Pridobljeno s https://pxweb.stat.si/sistat/sl</w:t>
      </w:r>
    </w:p>
    <w:p w14:paraId="3BF5DA8E"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lastRenderedPageBreak/>
        <w:t xml:space="preserve">Šircelj, M. (2006). </w:t>
      </w:r>
      <w:r w:rsidRPr="007048ED">
        <w:rPr>
          <w:rFonts w:ascii="Myriad Pro" w:hAnsi="Myriad Pro" w:cs="Times New Roman"/>
          <w:i/>
          <w:iCs/>
          <w:sz w:val="20"/>
          <w:szCs w:val="24"/>
        </w:rPr>
        <w:t>Rodnost v Sloveniji od 18. do 21. stoletja</w:t>
      </w:r>
      <w:r w:rsidRPr="007048ED">
        <w:rPr>
          <w:rFonts w:ascii="Myriad Pro" w:hAnsi="Myriad Pro" w:cs="Times New Roman"/>
          <w:sz w:val="20"/>
          <w:szCs w:val="24"/>
        </w:rPr>
        <w:t>. Ljubljana: SURS.</w:t>
      </w:r>
    </w:p>
    <w:p w14:paraId="61CE4E07"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 xml:space="preserve">Šircelj, M. V. (2020). </w:t>
      </w:r>
      <w:r w:rsidRPr="007048ED">
        <w:rPr>
          <w:rFonts w:ascii="Myriad Pro" w:hAnsi="Myriad Pro" w:cs="Times New Roman"/>
          <w:i/>
          <w:iCs/>
          <w:sz w:val="20"/>
          <w:szCs w:val="24"/>
        </w:rPr>
        <w:t>Osnove demografije in demografski razvoj Slovenije</w:t>
      </w:r>
      <w:r w:rsidRPr="007048ED">
        <w:rPr>
          <w:rFonts w:ascii="Myriad Pro" w:hAnsi="Myriad Pro" w:cs="Times New Roman"/>
          <w:sz w:val="20"/>
          <w:szCs w:val="24"/>
        </w:rPr>
        <w:t>. Ljubljana: Fakulteta za družbene vede.</w:t>
      </w:r>
    </w:p>
    <w:p w14:paraId="42945795"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Šter, D. (2023). Umrli. Metodološko pojasnilo. Statistični urad RS. Pridobljeno s https://www.stat.si/statweb/File/DocSysFile/9513</w:t>
      </w:r>
    </w:p>
    <w:p w14:paraId="4FF0BE54"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Šter, D., Žnidaršič, M. in Razpotnik, B. (2023). Demografski dogodki, 4. četrtletje 2022. Več umrlih kot rojenih, več priseljenih kot odseljenih. Začasni podatki. Pridobljeno s https://www.stat.si/StatWeb/News/Index/11066</w:t>
      </w:r>
    </w:p>
    <w:p w14:paraId="61C27621"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UMAR. (2019). Ekonomski izzivi 2019.</w:t>
      </w:r>
    </w:p>
    <w:p w14:paraId="7C3AB31D" w14:textId="77777777" w:rsidR="007048ED" w:rsidRPr="007048ED" w:rsidRDefault="007048ED" w:rsidP="005E5875">
      <w:pPr>
        <w:pStyle w:val="Bibliography"/>
        <w:spacing w:after="120" w:line="288" w:lineRule="auto"/>
        <w:rPr>
          <w:rFonts w:ascii="Myriad Pro" w:hAnsi="Myriad Pro" w:cs="Times New Roman"/>
          <w:sz w:val="20"/>
          <w:szCs w:val="24"/>
        </w:rPr>
      </w:pPr>
      <w:r w:rsidRPr="007048ED">
        <w:rPr>
          <w:rFonts w:ascii="Myriad Pro" w:hAnsi="Myriad Pro" w:cs="Times New Roman"/>
          <w:sz w:val="20"/>
          <w:szCs w:val="24"/>
        </w:rPr>
        <w:t>Žnidaršič, M. (2023). Rojeni. Metodološko pojasnilo. Statistični urad RS. Pridobljeno s https://www.stat.si/statweb/File/DocSysFile/9520</w:t>
      </w:r>
    </w:p>
    <w:p w14:paraId="7267A97F" w14:textId="728CB2EB" w:rsidR="00990F48" w:rsidRPr="00990F48" w:rsidRDefault="00B353D5" w:rsidP="005E5875">
      <w:pPr>
        <w:pStyle w:val="LiteraturaUMAR"/>
        <w:spacing w:before="0" w:after="120"/>
      </w:pPr>
      <w:r>
        <w:fldChar w:fldCharType="end"/>
      </w:r>
    </w:p>
    <w:sectPr w:rsidR="00990F48" w:rsidRPr="00990F48" w:rsidSect="00DA3486">
      <w:headerReference w:type="default" r:id="rId46"/>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26FC4" w14:textId="77777777" w:rsidR="00CF1678" w:rsidRDefault="00CF1678" w:rsidP="009E1648">
      <w:r>
        <w:separator/>
      </w:r>
    </w:p>
    <w:p w14:paraId="63D698DA" w14:textId="77777777" w:rsidR="00CF1678" w:rsidRDefault="00CF1678" w:rsidP="009E1648"/>
    <w:p w14:paraId="3AB2DD8E" w14:textId="77777777" w:rsidR="00CF1678" w:rsidRDefault="00CF1678" w:rsidP="009E1648"/>
    <w:p w14:paraId="7AEA5BD0" w14:textId="77777777" w:rsidR="00CF1678" w:rsidRDefault="00CF1678" w:rsidP="009E1648"/>
    <w:p w14:paraId="0BD1227E" w14:textId="77777777" w:rsidR="00CF1678" w:rsidRDefault="00CF1678" w:rsidP="009E1648"/>
    <w:p w14:paraId="7124ECD9" w14:textId="77777777" w:rsidR="00CF1678" w:rsidRDefault="00CF1678" w:rsidP="009E1648"/>
    <w:p w14:paraId="309F4010" w14:textId="77777777" w:rsidR="00CF1678" w:rsidRDefault="00CF1678" w:rsidP="009E1648"/>
    <w:p w14:paraId="686969C5" w14:textId="77777777" w:rsidR="00CF1678" w:rsidRDefault="00CF1678" w:rsidP="009E1648"/>
    <w:p w14:paraId="2F0BA11B" w14:textId="77777777" w:rsidR="00CF1678" w:rsidRDefault="00CF1678"/>
    <w:p w14:paraId="6C3049EB" w14:textId="77777777" w:rsidR="00CF1678" w:rsidRDefault="00CF1678"/>
    <w:p w14:paraId="1390B6A8" w14:textId="77777777" w:rsidR="00CF1678" w:rsidRDefault="00CF1678" w:rsidP="00A540FA"/>
    <w:p w14:paraId="31BC0F4B" w14:textId="77777777" w:rsidR="00CF1678" w:rsidRDefault="00CF1678" w:rsidP="00A540FA"/>
    <w:p w14:paraId="16A375EF" w14:textId="77777777" w:rsidR="00CF1678" w:rsidRDefault="00CF1678" w:rsidP="00A540FA"/>
    <w:p w14:paraId="17F00275" w14:textId="77777777" w:rsidR="00CF1678" w:rsidRDefault="00CF1678" w:rsidP="00A540FA"/>
    <w:p w14:paraId="6D9AF18E" w14:textId="77777777" w:rsidR="00CF1678" w:rsidRDefault="00CF1678" w:rsidP="00A540FA"/>
    <w:p w14:paraId="6C31D77C" w14:textId="77777777" w:rsidR="00CF1678" w:rsidRDefault="00CF1678"/>
  </w:endnote>
  <w:endnote w:type="continuationSeparator" w:id="0">
    <w:p w14:paraId="49AD857C" w14:textId="77777777" w:rsidR="00CF1678" w:rsidRDefault="00CF1678" w:rsidP="009E1648">
      <w:r>
        <w:continuationSeparator/>
      </w:r>
    </w:p>
    <w:p w14:paraId="20E6C49C" w14:textId="77777777" w:rsidR="00CF1678" w:rsidRDefault="00CF1678" w:rsidP="009E1648"/>
    <w:p w14:paraId="501150FD" w14:textId="77777777" w:rsidR="00CF1678" w:rsidRDefault="00CF1678" w:rsidP="009E1648"/>
    <w:p w14:paraId="435CDC37" w14:textId="77777777" w:rsidR="00CF1678" w:rsidRDefault="00CF1678" w:rsidP="009E1648"/>
    <w:p w14:paraId="5C790FCE" w14:textId="77777777" w:rsidR="00CF1678" w:rsidRDefault="00CF1678" w:rsidP="009E1648"/>
    <w:p w14:paraId="2B604C45" w14:textId="77777777" w:rsidR="00CF1678" w:rsidRDefault="00CF1678" w:rsidP="009E1648"/>
    <w:p w14:paraId="285AC544" w14:textId="77777777" w:rsidR="00CF1678" w:rsidRDefault="00CF1678" w:rsidP="009E1648"/>
    <w:p w14:paraId="3D4E7F25" w14:textId="77777777" w:rsidR="00CF1678" w:rsidRDefault="00CF1678" w:rsidP="009E1648"/>
    <w:p w14:paraId="07708630" w14:textId="77777777" w:rsidR="00CF1678" w:rsidRDefault="00CF1678"/>
    <w:p w14:paraId="02D88774" w14:textId="77777777" w:rsidR="00CF1678" w:rsidRDefault="00CF1678"/>
    <w:p w14:paraId="47D12077" w14:textId="77777777" w:rsidR="00CF1678" w:rsidRDefault="00CF1678" w:rsidP="00A540FA"/>
    <w:p w14:paraId="3CD75F55" w14:textId="77777777" w:rsidR="00CF1678" w:rsidRDefault="00CF1678" w:rsidP="00A540FA"/>
    <w:p w14:paraId="2D711227" w14:textId="77777777" w:rsidR="00CF1678" w:rsidRDefault="00CF1678" w:rsidP="00A540FA"/>
    <w:p w14:paraId="65D22693" w14:textId="77777777" w:rsidR="00CF1678" w:rsidRDefault="00CF1678" w:rsidP="00A540FA"/>
    <w:p w14:paraId="4A1ECF63" w14:textId="77777777" w:rsidR="00CF1678" w:rsidRDefault="00CF1678" w:rsidP="00A540FA"/>
    <w:p w14:paraId="1B06D7B8" w14:textId="77777777" w:rsidR="00CF1678" w:rsidRDefault="00CF1678"/>
  </w:endnote>
  <w:endnote w:type="continuationNotice" w:id="1">
    <w:p w14:paraId="20AB7ECD" w14:textId="77777777" w:rsidR="00CF1678" w:rsidRDefault="00CF16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6A1C" w14:textId="77777777" w:rsidR="00CF1678" w:rsidRDefault="00CF1678"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ED68C" w14:textId="77777777" w:rsidR="00CF1678" w:rsidRPr="009B56EE" w:rsidRDefault="00CF1678" w:rsidP="009B56EE">
      <w:pPr>
        <w:pStyle w:val="BesediloUMAR"/>
      </w:pPr>
      <w:r w:rsidRPr="009B56EE">
        <w:separator/>
      </w:r>
    </w:p>
  </w:footnote>
  <w:footnote w:type="continuationSeparator" w:id="0">
    <w:p w14:paraId="3E4203B5" w14:textId="77777777" w:rsidR="00CF1678" w:rsidRDefault="00CF1678">
      <w:r>
        <w:separator/>
      </w:r>
    </w:p>
  </w:footnote>
  <w:footnote w:type="continuationNotice" w:id="1">
    <w:p w14:paraId="41D89255" w14:textId="77777777" w:rsidR="00CF1678" w:rsidRDefault="00CF1678">
      <w:pPr>
        <w:spacing w:line="240" w:lineRule="auto"/>
      </w:pPr>
    </w:p>
  </w:footnote>
  <w:footnote w:id="2">
    <w:p w14:paraId="20AFA0EF" w14:textId="64D49710" w:rsidR="00CF1678" w:rsidRDefault="00CF1678" w:rsidP="002F6B56">
      <w:pPr>
        <w:pStyle w:val="FootnoteText"/>
      </w:pPr>
      <w:r w:rsidRPr="006E7431">
        <w:rPr>
          <w:rStyle w:val="FootnoteReference"/>
        </w:rPr>
        <w:footnoteRef/>
      </w:r>
      <w:r>
        <w:t xml:space="preserve"> Gl. tudi </w:t>
      </w:r>
      <w:r>
        <w:fldChar w:fldCharType="begin"/>
      </w:r>
      <w:r>
        <w:instrText xml:space="preserve"> ADDIN ZOTERO_ITEM CSL_CITATION {"citationID":"2Qph0n48","properties":{"custom":"Razpotnik (2023)","formattedCitation":"Razpotnik (2023)","plainCitation":"Razpotnik (2023)","noteIndex":1},"citationItems":[{"id":3756,"uris":["http://zotero.org/users/8040504/items/JWDGR6GU"],"itemData":{"id":3756,"type":"document","title":"Projekcije prebivalstva EUROPOP2023 za Slovenijo. EUROPOP2023: projekcije za prihodnja desetletja predvidevajo nadaljnje staranje prebivalstva","URL":"https://www.stat.si/StatWeb/News/Index/11124","author":[{"family":"Razpotnik","given":"Barica"}],"issued":{"date-parts":[["2023"]]}}}],"schema":"https://github.com/citation-style-language/schema/raw/master/csl-citation.json"} </w:instrText>
      </w:r>
      <w:r>
        <w:fldChar w:fldCharType="separate"/>
      </w:r>
      <w:r w:rsidRPr="00325021">
        <w:t>Razpotnik (2023)</w:t>
      </w:r>
      <w:r>
        <w:fldChar w:fldCharType="end"/>
      </w:r>
      <w:r>
        <w:t>.</w:t>
      </w:r>
    </w:p>
  </w:footnote>
  <w:footnote w:id="3">
    <w:p w14:paraId="422067D3" w14:textId="5A45C6C1" w:rsidR="00CF1678" w:rsidRDefault="00CF1678" w:rsidP="002F6B56">
      <w:pPr>
        <w:pStyle w:val="FootnoteText"/>
      </w:pPr>
      <w:r w:rsidRPr="006E7431">
        <w:rPr>
          <w:rStyle w:val="FootnoteReference"/>
        </w:rPr>
        <w:footnoteRef/>
      </w:r>
      <w:r w:rsidRPr="00D05BEA">
        <w:t xml:space="preserve"> Za to leto so že bili znani podatki o številu prebivalcev.</w:t>
      </w:r>
    </w:p>
  </w:footnote>
  <w:footnote w:id="4">
    <w:p w14:paraId="7D1A3951" w14:textId="5BF28E55" w:rsidR="00CF1678" w:rsidRDefault="00CF1678" w:rsidP="002F6B56">
      <w:pPr>
        <w:pStyle w:val="FootnoteText"/>
      </w:pPr>
      <w:r w:rsidRPr="006E7431">
        <w:rPr>
          <w:rStyle w:val="FootnoteReference"/>
        </w:rPr>
        <w:footnoteRef/>
      </w:r>
      <w:r>
        <w:t xml:space="preserve"> Največja razlika v številu med </w:t>
      </w:r>
      <w:r w:rsidRPr="00E63F1D">
        <w:t>65</w:t>
      </w:r>
      <w:r>
        <w:t>-</w:t>
      </w:r>
      <w:r w:rsidRPr="00E63F1D">
        <w:t>let</w:t>
      </w:r>
      <w:r>
        <w:t xml:space="preserve">niki in 20-letniki </w:t>
      </w:r>
      <w:r w:rsidRPr="00E63F1D">
        <w:t>naj bi</w:t>
      </w:r>
      <w:r>
        <w:t xml:space="preserve"> bila v obdobju 2043–2048 in bi v povprečju na leto znašala 11 tisoč </w:t>
      </w:r>
      <w:r w:rsidR="00741410">
        <w:br/>
      </w:r>
      <w:r>
        <w:t>(2022–2060: 7166; 2061–2100: 4451).</w:t>
      </w:r>
    </w:p>
    <w:p w14:paraId="3F121875" w14:textId="0B509CC3" w:rsidR="00CF1678" w:rsidRDefault="00CF1678" w:rsidP="002F6B56">
      <w:pPr>
        <w:pStyle w:val="FootnoteText"/>
      </w:pPr>
    </w:p>
  </w:footnote>
  <w:footnote w:id="5">
    <w:p w14:paraId="0530CCA8" w14:textId="15AE568F" w:rsidR="00CF1678" w:rsidRDefault="00CF1678" w:rsidP="002F6B56">
      <w:pPr>
        <w:pStyle w:val="FootnoteText"/>
      </w:pPr>
      <w:r w:rsidRPr="006E7431">
        <w:rPr>
          <w:rStyle w:val="FootnoteReference"/>
        </w:rPr>
        <w:footnoteRef/>
      </w:r>
      <w:r w:rsidRPr="00C4341E">
        <w:t xml:space="preserve"> Po uradnih podatkih SURS na dan 1. 1. 2023</w:t>
      </w:r>
      <w:r>
        <w:t>.</w:t>
      </w:r>
      <w:r w:rsidRPr="00C4341E">
        <w:t xml:space="preserve"> </w:t>
      </w:r>
      <w:r>
        <w:t>P</w:t>
      </w:r>
      <w:r w:rsidRPr="00C4341E">
        <w:t xml:space="preserve">rojekcija je predvidela 2.116.709 prebivalcev, </w:t>
      </w:r>
      <w:r>
        <w:t xml:space="preserve">kar </w:t>
      </w:r>
      <w:r w:rsidRPr="00C4341E">
        <w:t>navajamo zaradi</w:t>
      </w:r>
      <w:r>
        <w:t xml:space="preserve"> lažje </w:t>
      </w:r>
      <w:r w:rsidRPr="00C4341E">
        <w:t>sledljivosti podatkov</w:t>
      </w:r>
      <w:r>
        <w:t>.</w:t>
      </w:r>
    </w:p>
  </w:footnote>
  <w:footnote w:id="6">
    <w:p w14:paraId="41398934" w14:textId="5C3B6844" w:rsidR="00CF1678" w:rsidRDefault="00CF1678" w:rsidP="00BD0F44">
      <w:pPr>
        <w:pStyle w:val="BesediloUMAR"/>
      </w:pPr>
      <w:r w:rsidRPr="006E7431">
        <w:rPr>
          <w:rStyle w:val="FootnoteReference"/>
        </w:rPr>
        <w:footnoteRef/>
      </w:r>
      <w:r>
        <w:t xml:space="preserve"> </w:t>
      </w:r>
      <w:r w:rsidRPr="00867768">
        <w:rPr>
          <w:sz w:val="16"/>
          <w:szCs w:val="14"/>
        </w:rPr>
        <w:t>Ker se je veljavnost ukrepa začasne zaščite za razseljene osebe iz Ukrajine podaljšala do 4. 3. 2024, so osebe s priznano začasno zaščito in prijavljenim prebivališčem v Sloveniji izpolnile pogoj najmanj enoletnega namena prebivanja v Sloveniji in se s tem uvrstile med prebivalce Slovenije</w:t>
      </w:r>
      <w:r>
        <w:rPr>
          <w:sz w:val="16"/>
          <w:szCs w:val="14"/>
        </w:rPr>
        <w:t xml:space="preserve"> </w:t>
      </w:r>
      <w:r>
        <w:rPr>
          <w:sz w:val="16"/>
          <w:szCs w:val="14"/>
        </w:rPr>
        <w:fldChar w:fldCharType="begin"/>
      </w:r>
      <w:r>
        <w:rPr>
          <w:sz w:val="16"/>
          <w:szCs w:val="14"/>
        </w:rPr>
        <w:instrText xml:space="preserve"> ADDIN ZOTERO_ITEM CSL_CITATION {"citationID":"dvbdfYLj","properties":{"formattedCitation":"(\\uc0\\u352{}ter idr., 2023)","plainCitation":"(Šter idr., 2023)","noteIndex":5},"citationItems":[{"id":3856,"uris":["http://zotero.org/users/8040504/items/4UVVHUMA"],"itemData":{"id":3856,"type":"document","title":"Demografski dogodki, 4. četrtletje 2022. Več umrlih kot rojenih, več priseljenih kot odseljenih. Začasni podatki.","URL":"https://www.stat.si/StatWeb/News/Index/11066","author":[{"family":"Šter","given":"Darja"},{"family":"Žnidaršič","given":"Martina"},{"family":"Razpotnik","given":"Barica"}],"issued":{"date-parts":[["2023",4,26]]}}}],"schema":"https://github.com/citation-style-language/schema/raw/master/csl-citation.json"} </w:instrText>
      </w:r>
      <w:r>
        <w:rPr>
          <w:sz w:val="16"/>
          <w:szCs w:val="14"/>
        </w:rPr>
        <w:fldChar w:fldCharType="separate"/>
      </w:r>
      <w:r w:rsidRPr="00E94EFB">
        <w:rPr>
          <w:rFonts w:cs="Times New Roman"/>
          <w:sz w:val="16"/>
          <w:szCs w:val="24"/>
        </w:rPr>
        <w:t>(Šter idr., 2023)</w:t>
      </w:r>
      <w:r>
        <w:rPr>
          <w:sz w:val="16"/>
          <w:szCs w:val="14"/>
        </w:rPr>
        <w:fldChar w:fldCharType="end"/>
      </w:r>
      <w:r w:rsidRPr="00867768">
        <w:rPr>
          <w:sz w:val="16"/>
          <w:szCs w:val="14"/>
        </w:rPr>
        <w:t>.</w:t>
      </w:r>
    </w:p>
  </w:footnote>
  <w:footnote w:id="7">
    <w:p w14:paraId="3DD00EA0" w14:textId="77777777" w:rsidR="00FD435A" w:rsidRDefault="00CF1678" w:rsidP="00FD435A">
      <w:pPr>
        <w:pStyle w:val="FootnoteText"/>
      </w:pPr>
      <w:r w:rsidRPr="006E7431">
        <w:rPr>
          <w:rStyle w:val="FootnoteReference"/>
        </w:rPr>
        <w:footnoteRef/>
      </w:r>
      <w:r>
        <w:t xml:space="preserve"> </w:t>
      </w:r>
      <w:r w:rsidR="00FD435A">
        <w:t>Leta 1947 je bilo živorojenih 31.312 (v predhodnih treh letih pa v povprečju dobrih 25 tisoč). Na dan 1. 1. 2012 jih je v Sloveniji živelo še 20.844 (živorojeni–umrli+priseljeni–odseljeni). V obdobju 1947–1957 je bilo živorojenih v povprečju letno 32.758, nato se je več kot 30 tisoč otrok rodilo le še v nekaj posameznih letih (1965, 1966, 1976, 1978, 1979).</w:t>
      </w:r>
    </w:p>
    <w:p w14:paraId="71CDD5A8" w14:textId="77777777" w:rsidR="00FD435A" w:rsidRDefault="00FD435A" w:rsidP="00FD435A">
      <w:pPr>
        <w:pStyle w:val="FootnoteText"/>
      </w:pPr>
      <w:r>
        <w:t>Leta 1992 se je prvič rodilo manj kot 20 tisoč otrok, 1. 1. 2012 pa je bilo v Sloveniji 22.261 20-letnikov.</w:t>
      </w:r>
    </w:p>
    <w:p w14:paraId="5500695E" w14:textId="008A7D74" w:rsidR="00CF1678" w:rsidRDefault="00FD435A" w:rsidP="00FD435A">
      <w:pPr>
        <w:pStyle w:val="FootnoteText"/>
      </w:pPr>
      <w:r>
        <w:t>S</w:t>
      </w:r>
      <w:r w:rsidRPr="00DC19E5">
        <w:t>tarejših od 65 let je bilo v začetku leta 2023 za 10</w:t>
      </w:r>
      <w:r>
        <w:t>9</w:t>
      </w:r>
      <w:r w:rsidRPr="00DC19E5">
        <w:t xml:space="preserve"> tisoč oz. 31,5 % več kot leta 2012</w:t>
      </w:r>
      <w:r>
        <w:t>, starih 20–64 let pa za 69 tisoč oz. 5,3 % manj.</w:t>
      </w:r>
    </w:p>
  </w:footnote>
  <w:footnote w:id="8">
    <w:p w14:paraId="7ACA60A1" w14:textId="77777777" w:rsidR="00CF1678" w:rsidRDefault="00CF1678" w:rsidP="002F6B56">
      <w:pPr>
        <w:pStyle w:val="FootnoteText"/>
      </w:pPr>
      <w:r w:rsidRPr="006E7431">
        <w:rPr>
          <w:rStyle w:val="FootnoteReference"/>
        </w:rPr>
        <w:footnoteRef/>
      </w:r>
      <w:r>
        <w:t xml:space="preserve"> Preračuni UMAR na podlagi starostne porazdelitve prebivalk.</w:t>
      </w:r>
    </w:p>
  </w:footnote>
  <w:footnote w:id="9">
    <w:p w14:paraId="41CA837F" w14:textId="3A783719" w:rsidR="00CF1678" w:rsidRDefault="00CF1678" w:rsidP="002F6B56">
      <w:pPr>
        <w:pStyle w:val="FootnoteText"/>
      </w:pPr>
      <w:r w:rsidRPr="006E7431">
        <w:rPr>
          <w:rStyle w:val="FootnoteReference"/>
        </w:rPr>
        <w:footnoteRef/>
      </w:r>
      <w:r>
        <w:t xml:space="preserve"> </w:t>
      </w:r>
      <w:r w:rsidRPr="005C3CAD">
        <w:t>Podatki Eurostata se nekoliko razlikujejo od podatkov SURS zaradi nekoliko različne metodologije</w:t>
      </w:r>
      <w:r>
        <w:t>;</w:t>
      </w:r>
      <w:r w:rsidRPr="005C3CAD">
        <w:t xml:space="preserve"> uporabljamo jih, ker imajo izračunano tudi skupno </w:t>
      </w:r>
      <w:r>
        <w:t>pričakovano trajanje življenja (ne le posebej po spolu) ter zaradi primerljivosti s povprečjem EU in projekcijo, na voljo so do leta 2021. Po podatkih SURS za leto 2022 se je pričakovano trajanje življenja za oba spola podaljšalo, za moške, pri katerih je skoraj doseglo vrednost iz leta 2019, bolj kot za ženske</w:t>
      </w:r>
      <w:r w:rsidRPr="005C3CAD">
        <w:t>.</w:t>
      </w:r>
    </w:p>
  </w:footnote>
  <w:footnote w:id="10">
    <w:p w14:paraId="3BBB63F8" w14:textId="1C25B764" w:rsidR="00CF1678" w:rsidRDefault="00CF1678" w:rsidP="002F6B56">
      <w:pPr>
        <w:pStyle w:val="FootnoteText"/>
      </w:pPr>
      <w:r w:rsidRPr="006E7431">
        <w:rPr>
          <w:rStyle w:val="FootnoteReference"/>
        </w:rPr>
        <w:footnoteRef/>
      </w:r>
      <w:r w:rsidRPr="00375DF2">
        <w:t xml:space="preserve"> </w:t>
      </w:r>
      <w:r w:rsidRPr="007E0D40">
        <w:t>Umrlih s covidom-19 (oz. 28 dni od potrjene okužbe)</w:t>
      </w:r>
      <w:r>
        <w:t xml:space="preserve"> </w:t>
      </w:r>
      <w:r w:rsidRPr="007E0D40">
        <w:t>je bilo leta 2022 še vedno razmeroma veliko, 2</w:t>
      </w:r>
      <w:r>
        <w:t>539</w:t>
      </w:r>
      <w:r w:rsidRPr="007E0D40">
        <w:t xml:space="preserve">, leta 2020 in 2021 pa 3390 oz. 3062 </w:t>
      </w:r>
      <w:r w:rsidRPr="007E0D40">
        <w:fldChar w:fldCharType="begin"/>
      </w:r>
      <w:r w:rsidR="007048ED">
        <w:instrText xml:space="preserve"> ADDIN ZOTERO_ITEM CSL_CITATION {"citationID":"LfPfrzaO","properties":{"formattedCitation":"(NIJZ, 2023)","plainCitation":"(NIJZ, 2023)","noteIndex":9},"citationItems":[{"id":3947,"uris":["http://zotero.org/users/8040504/items/MRKH539I"],"itemData":{"id":3947,"type":"report","event-place":"Ljubljana","genre":"Podatkovna baza","publisher-place":"Ljubljana","title":"NIJZ podatkovni portal","URL":"https://podatki.nijz.si/pxweb/sl/NIJZ%20podatkovni%20portal/","author":[{"family":"NIJZ","given":""}],"issued":{"date-parts":[["2023"]]}}}],"schema":"https://github.com/citation-style-language/schema/raw/master/csl-citation.json"} </w:instrText>
      </w:r>
      <w:r w:rsidRPr="007E0D40">
        <w:fldChar w:fldCharType="separate"/>
      </w:r>
      <w:r w:rsidRPr="007E0D40">
        <w:t>(NIJZ, 2023)</w:t>
      </w:r>
      <w:r w:rsidRPr="007E0D40">
        <w:fldChar w:fldCharType="end"/>
      </w:r>
      <w:r w:rsidRPr="007E0D40">
        <w:t>. Vendar ocenjujemo, da je bilo leta 2022 več smrti s covidom-19 kot zaradi covida-19, to kažejo tudi podatki o smrtih na covid oddelkih</w:t>
      </w:r>
      <w:r>
        <w:t xml:space="preserve"> </w:t>
      </w:r>
      <w:r>
        <w:fldChar w:fldCharType="begin"/>
      </w:r>
      <w:r w:rsidR="007048ED">
        <w:instrText xml:space="preserve"> ADDIN ZOTERO_ITEM CSL_CITATION {"citationID":"kusrkRtq","properties":{"formattedCitation":"(Sledilnik, 2023)","plainCitation":"(Sledilnik, 2023)","noteIndex":9},"citationItems":[{"id":4171,"uris":["http://zotero.org/users/8040504/items/BVY82SGJ"],"itemData":{"id":4171,"type":"report","event-place":"Ljubljana","genre":"Podatkovna baza","publisher":"Sledilnik","publisher-place":"Ljubljana","title":"Smrti na covid oddelkih [po podatkih MZ]","URL":"https://github.com/sledilnik/data/blob/master/csv/stats.csv","author":[{"family":"Sledilnik","given":""}],"issued":{"date-parts":[["2023"]]}}}],"schema":"https://github.com/citation-style-language/schema/raw/master/csl-citation.json"} </w:instrText>
      </w:r>
      <w:r>
        <w:fldChar w:fldCharType="separate"/>
      </w:r>
      <w:r w:rsidRPr="00F83C08">
        <w:t>(Sledilnik, 2023)</w:t>
      </w:r>
      <w:r>
        <w:fldChar w:fldCharType="end"/>
      </w:r>
      <w:r w:rsidRPr="007E0D40">
        <w:t>, katerih delež se je zmanjšal na 52,1 % (v povprečju let 2020 in 2021: 91,1 %).</w:t>
      </w:r>
      <w:r w:rsidRPr="00375DF2">
        <w:t xml:space="preserve"> </w:t>
      </w:r>
    </w:p>
  </w:footnote>
  <w:footnote w:id="11">
    <w:p w14:paraId="0345A6DA" w14:textId="5EDF573D" w:rsidR="00CF1678" w:rsidRDefault="00CF1678" w:rsidP="002F6B56">
      <w:pPr>
        <w:pStyle w:val="FootnoteText"/>
      </w:pPr>
      <w:r w:rsidRPr="006E7431">
        <w:rPr>
          <w:rStyle w:val="FootnoteReference"/>
        </w:rPr>
        <w:footnoteRef/>
      </w:r>
      <w:r w:rsidRPr="00093DDE">
        <w:t xml:space="preserve"> Pričakovano trajanje življenja se zmanjša, če se poveča umrljivost (lahko le v nekaterih starostnih skupinah), saj v izračun pričakovanega trajanja življenja v določenem letu vstopajo vrednosti umrljivosti v tablicah umrljivosti za opazovano leto.</w:t>
      </w:r>
    </w:p>
  </w:footnote>
  <w:footnote w:id="12">
    <w:p w14:paraId="2A5CD371" w14:textId="5ECEE34E" w:rsidR="00CF1678" w:rsidRDefault="00CF1678" w:rsidP="002F6B56">
      <w:pPr>
        <w:pStyle w:val="FootnoteText"/>
      </w:pPr>
      <w:r w:rsidRPr="006E7431">
        <w:rPr>
          <w:rStyle w:val="FootnoteReference"/>
        </w:rPr>
        <w:footnoteRef/>
      </w:r>
      <w:r>
        <w:t xml:space="preserve"> </w:t>
      </w:r>
      <w:r>
        <w:fldChar w:fldCharType="begin"/>
      </w:r>
      <w:r w:rsidR="007048ED">
        <w:instrText xml:space="preserve"> ADDIN ZOTERO_ITEM CSL_CITATION {"citationID":"rnOP7iHI","properties":{"custom":"Sambt idr. (2021)","formattedCitation":"Sambt idr. (2021)","plainCitation":"Sambt idr. (2021)","noteIndex":11},"citationItems":[{"id":3869,"uris":["http://zotero.org/users/8040504/items/WZWUA5ZV"],"itemData":{"id":3869,"type":"chapter","container-title":"Zbornik 24. mednarodne multikonference: informacijska družba IS 2021, zvezek F","event-place":"Ljubljana","publisher-place":"Ljubljana","title":"Precenjenost presežne umrljivosti za Slovenijo v letu 2020.","URL":"https://is.ijs.si/wp-content/uploads/2021/10/IS2021_Volume_F-TEMP-2.pdf","author":[{"family":"Sambt","given":"Jože"},{"family":"Istenič","given":"Tanja"},{"family":"Farčnik","given":"Daša"},{"family":"Viršček","given":"Andrej"}],"issued":{"date-parts":[["2021"]]}}}],"schema":"https://github.com/citation-style-language/schema/raw/master/csl-citation.json"} </w:instrText>
      </w:r>
      <w:r>
        <w:fldChar w:fldCharType="separate"/>
      </w:r>
      <w:r w:rsidRPr="002F0A48">
        <w:t>Sambt idr. (2021)</w:t>
      </w:r>
      <w:r>
        <w:fldChar w:fldCharType="end"/>
      </w:r>
      <w:r w:rsidRPr="006C20BF">
        <w:t xml:space="preserve"> opozarjajo, da tak izračun presežne umrljivosti ne upošteva spreminjanja števila in starostne strukture prebival</w:t>
      </w:r>
      <w:r>
        <w:t>cev</w:t>
      </w:r>
      <w:r w:rsidRPr="006C20BF">
        <w:t xml:space="preserve"> ter trenda zniževanja umrljivosti v času</w:t>
      </w:r>
      <w:r>
        <w:t>, ki sicer delujeta v nasprotni smeri, vprašanje pa je, kateri bo prevladal</w:t>
      </w:r>
      <w:r w:rsidRPr="006C20BF">
        <w:t xml:space="preserve">. </w:t>
      </w:r>
      <w:r>
        <w:t xml:space="preserve">Ugotavljajo tudi, da gibanje števila umrlih v Sloveniji v zadnjem desetletju kaže, da že prevladuje vpliv staranja prebivalcev. </w:t>
      </w:r>
      <w:r w:rsidRPr="006623FE">
        <w:t>Za Slovenijo bi bila tako ocenjena presežna umrljivost za leto 2020 za okoli 4 o.</w:t>
      </w:r>
      <w:r>
        <w:t> </w:t>
      </w:r>
      <w:r w:rsidRPr="006623FE">
        <w:t>t. nižja.</w:t>
      </w:r>
      <w:r>
        <w:t xml:space="preserve"> </w:t>
      </w:r>
      <w:r w:rsidRPr="005C48FB">
        <w:t xml:space="preserve">Po naši oceni bi </w:t>
      </w:r>
      <w:r>
        <w:t xml:space="preserve">bila </w:t>
      </w:r>
      <w:r w:rsidRPr="005C48FB">
        <w:t xml:space="preserve">presežna umrljivost za leto 2020 </w:t>
      </w:r>
      <w:r>
        <w:t xml:space="preserve">nižja za </w:t>
      </w:r>
      <w:r w:rsidRPr="005C48FB">
        <w:t xml:space="preserve">3,6 o. t., za leto 2021 </w:t>
      </w:r>
      <w:r>
        <w:t xml:space="preserve">in </w:t>
      </w:r>
      <w:r w:rsidRPr="005C48FB">
        <w:t xml:space="preserve">2022 pa </w:t>
      </w:r>
      <w:r>
        <w:t xml:space="preserve">za </w:t>
      </w:r>
      <w:r w:rsidRPr="005C48FB">
        <w:t>1 o. t.</w:t>
      </w:r>
      <w:r w:rsidRPr="004922F3">
        <w:t xml:space="preserve"> </w:t>
      </w:r>
      <w:r>
        <w:t xml:space="preserve">(pri izračunu smo uporabili projekcije števila umrlih </w:t>
      </w:r>
      <w:r w:rsidRPr="005C48FB">
        <w:t>EUROPOP2019</w:t>
      </w:r>
      <w:r>
        <w:t>).</w:t>
      </w:r>
    </w:p>
  </w:footnote>
  <w:footnote w:id="13">
    <w:p w14:paraId="00FF89D2" w14:textId="2E28EC54" w:rsidR="00CF1678" w:rsidRDefault="00CF1678" w:rsidP="002F6B56">
      <w:pPr>
        <w:pStyle w:val="FootnoteText"/>
      </w:pPr>
      <w:r w:rsidRPr="006E7431">
        <w:rPr>
          <w:rStyle w:val="FootnoteReference"/>
        </w:rPr>
        <w:footnoteRef/>
      </w:r>
      <w:r>
        <w:t xml:space="preserve"> Uradne številke sicer kažejo izjemo v letu 2020, vendar gre tu za vpliv spremembe metodologije, gl. opombo pod </w:t>
      </w:r>
      <w:r w:rsidRPr="00053BBF">
        <w:t>sliko 16.</w:t>
      </w:r>
    </w:p>
  </w:footnote>
  <w:footnote w:id="14">
    <w:p w14:paraId="3DD5E933" w14:textId="24AB68F1" w:rsidR="00310175" w:rsidRDefault="00310175">
      <w:pPr>
        <w:pStyle w:val="FootnoteText"/>
      </w:pPr>
      <w:r w:rsidRPr="00D57EEB">
        <w:rPr>
          <w:rStyle w:val="FootnoteReference"/>
        </w:rPr>
        <w:footnoteRef/>
      </w:r>
      <w:r w:rsidRPr="00D57EEB">
        <w:t xml:space="preserve"> </w:t>
      </w:r>
      <w:r w:rsidR="00D57EEB">
        <w:t>Podatki o s</w:t>
      </w:r>
      <w:r w:rsidRPr="00D57EEB">
        <w:t>ocioekonomsk</w:t>
      </w:r>
      <w:r w:rsidR="00D57EEB">
        <w:t>ih</w:t>
      </w:r>
      <w:r w:rsidRPr="00D57EEB">
        <w:t xml:space="preserve"> značilnosti meddržavnih selivcev so objavljen</w:t>
      </w:r>
      <w:r w:rsidR="00D57EEB">
        <w:t>i</w:t>
      </w:r>
      <w:r w:rsidRPr="00D57EEB">
        <w:t xml:space="preserve"> </w:t>
      </w:r>
      <w:r w:rsidR="000C4A3F">
        <w:t xml:space="preserve">vsako leto predvidoma </w:t>
      </w:r>
      <w:r w:rsidRPr="00D57EEB">
        <w:t xml:space="preserve">decembra in ob izdaji kratke analize </w:t>
      </w:r>
      <w:r w:rsidR="000C4A3F">
        <w:t xml:space="preserve">za leto 2022 </w:t>
      </w:r>
      <w:r w:rsidR="000B753E">
        <w:t xml:space="preserve">še </w:t>
      </w:r>
      <w:r w:rsidRPr="00D57EEB">
        <w:t>niso bil</w:t>
      </w:r>
      <w:r w:rsidR="000C4A3F">
        <w:t>i</w:t>
      </w:r>
      <w:r w:rsidRPr="00D57EEB">
        <w:t xml:space="preserve"> na voljo.</w:t>
      </w:r>
    </w:p>
  </w:footnote>
  <w:footnote w:id="15">
    <w:p w14:paraId="1DAF045A" w14:textId="7B51F116" w:rsidR="007D5B2D" w:rsidRDefault="007D5B2D">
      <w:pPr>
        <w:pStyle w:val="FootnoteText"/>
      </w:pPr>
      <w:r>
        <w:rPr>
          <w:rStyle w:val="FootnoteReference"/>
        </w:rPr>
        <w:footnoteRef/>
      </w:r>
      <w:r>
        <w:t xml:space="preserve"> Podatke opisujemo skozi selitveni prirast</w:t>
      </w:r>
      <w:r w:rsidR="00F001C4">
        <w:t xml:space="preserve"> (priseljeni–odseljeni)</w:t>
      </w:r>
      <w:r>
        <w:t xml:space="preserve"> ter posebej glede na priseljene in odseljene. </w:t>
      </w:r>
    </w:p>
  </w:footnote>
  <w:footnote w:id="16">
    <w:p w14:paraId="79FC70A0" w14:textId="68F92E78" w:rsidR="00CF1678" w:rsidRDefault="00CF1678">
      <w:pPr>
        <w:pStyle w:val="FootnoteText"/>
      </w:pPr>
      <w:r w:rsidRPr="006E7431">
        <w:rPr>
          <w:rStyle w:val="FootnoteReference"/>
        </w:rPr>
        <w:footnoteRef/>
      </w:r>
      <w:r>
        <w:t xml:space="preserve"> P</w:t>
      </w:r>
      <w:r w:rsidRPr="00EE2057">
        <w:t xml:space="preserve">ri čemer po pozitivnem prirastu izstopa leto 2020, ob neupoštevanju tega leta pa bi imeli v obdobju 2011–2021 negativen selitveni prirast </w:t>
      </w:r>
      <w:r>
        <w:t xml:space="preserve">terciarno izobraženih </w:t>
      </w:r>
      <w:r w:rsidRPr="00EE2057">
        <w:t>za 2545 oseb</w:t>
      </w:r>
      <w:r>
        <w:t>; gl. opombo pod sliko 16</w:t>
      </w:r>
      <w:r w:rsidRPr="00EE2057">
        <w:t xml:space="preserve">.  </w:t>
      </w:r>
    </w:p>
  </w:footnote>
  <w:footnote w:id="17">
    <w:p w14:paraId="20BFFC53" w14:textId="34FF71CD" w:rsidR="00CF1678" w:rsidRPr="000A0FCC" w:rsidRDefault="00CF1678">
      <w:pPr>
        <w:pStyle w:val="FootnoteText"/>
      </w:pPr>
      <w:r w:rsidRPr="006E7431">
        <w:rPr>
          <w:rStyle w:val="FootnoteReference"/>
        </w:rPr>
        <w:footnoteRef/>
      </w:r>
      <w:r w:rsidRPr="000A0FCC">
        <w:t xml:space="preserve"> Gl. </w:t>
      </w:r>
      <w:r w:rsidRPr="000A0FCC">
        <w:fldChar w:fldCharType="begin"/>
      </w:r>
      <w:r w:rsidR="007048ED">
        <w:instrText xml:space="preserve"> ADDIN ZOTERO_ITEM CSL_CITATION {"citationID":"5l16csZA","properties":{"custom":"Population Education (2023)","formattedCitation":"Population Education (2023)","plainCitation":"Population Education (2023)","noteIndex":16},"citationItems":[{"id":3870,"uris":["http://zotero.org/users/8040504/items/7DPFSNU7"],"itemData":{"id":3870,"type":"webpage","container-title":"Population Education. A program of population connection","title":"What is the Demographic Transition Model?","URL":"https://populationeducation.org/what-demographic-transition-model/","author":[{"family":"Population Education","given":""}],"issued":{"date-parts":[["2023"]]}}}],"schema":"https://github.com/citation-style-language/schema/raw/master/csl-citation.json"} </w:instrText>
      </w:r>
      <w:r w:rsidRPr="000A0FCC">
        <w:fldChar w:fldCharType="separate"/>
      </w:r>
      <w:r w:rsidRPr="000A0FCC">
        <w:t>Population Education (2023)</w:t>
      </w:r>
      <w:r w:rsidRPr="000A0FCC">
        <w:fldChar w:fldCharType="end"/>
      </w:r>
      <w:r w:rsidRPr="000A0FCC">
        <w:t xml:space="preserve"> oz. </w:t>
      </w:r>
      <w:r>
        <w:t>t</w:t>
      </w:r>
      <w:r w:rsidRPr="000A0FCC">
        <w:t>erminološki slovarček.</w:t>
      </w:r>
    </w:p>
  </w:footnote>
  <w:footnote w:id="18">
    <w:p w14:paraId="3FCDC8A6" w14:textId="19514C69" w:rsidR="00CF1678" w:rsidRDefault="00CF1678">
      <w:pPr>
        <w:pStyle w:val="FootnoteText"/>
      </w:pPr>
      <w:r w:rsidRPr="006E7431">
        <w:rPr>
          <w:rStyle w:val="FootnoteReference"/>
        </w:rPr>
        <w:footnoteRef/>
      </w:r>
      <w:r w:rsidRPr="000A0FCC">
        <w:t xml:space="preserve"> Za več gl. Ekonomski izzivi 2019 </w:t>
      </w:r>
      <w:r w:rsidRPr="000A0FCC">
        <w:fldChar w:fldCharType="begin"/>
      </w:r>
      <w:r w:rsidR="007048ED">
        <w:instrText xml:space="preserve"> ADDIN ZOTERO_ITEM CSL_CITATION {"citationID":"kPu8lP2L","properties":{"formattedCitation":"(UMAR, 2019)","plainCitation":"(UMAR, 2019)","noteIndex":17},"citationItems":[{"id":4172,"uris":["http://zotero.org/users/8040504/items/5SQ9I569"],"itemData":{"id":4172,"type":"report","title":"Ekonomski izzivi 2019","author":[{"literal":"UMAR"}],"issued":{"date-parts":[["2019"]]}}}],"schema":"https://github.com/citation-style-language/schema/raw/master/csl-citation.json"} </w:instrText>
      </w:r>
      <w:r w:rsidRPr="000A0FCC">
        <w:fldChar w:fldCharType="separate"/>
      </w:r>
      <w:r w:rsidRPr="000A0FCC">
        <w:t>(UMAR, 2019)</w:t>
      </w:r>
      <w:r w:rsidRPr="000A0FCC">
        <w:fldChar w:fldCharType="end"/>
      </w:r>
      <w:r w:rsidRPr="000A0FCC">
        <w:t>.</w:t>
      </w:r>
    </w:p>
  </w:footnote>
  <w:footnote w:id="19">
    <w:p w14:paraId="10CC0E1F" w14:textId="712C4EC6" w:rsidR="00CF1678" w:rsidRDefault="00CF1678" w:rsidP="002F6B56">
      <w:pPr>
        <w:pStyle w:val="FootnoteText"/>
      </w:pPr>
      <w:r w:rsidRPr="006E7431">
        <w:rPr>
          <w:rStyle w:val="FootnoteReference"/>
        </w:rPr>
        <w:footnoteRef/>
      </w:r>
      <w:r>
        <w:t xml:space="preserve"> Povzeto po </w:t>
      </w:r>
      <w:r>
        <w:fldChar w:fldCharType="begin"/>
      </w:r>
      <w:r w:rsidR="007048ED">
        <w:instrText xml:space="preserve"> ADDIN ZOTERO_ITEM CSL_CITATION {"citationID":"6jkf34l2","properties":{"custom":"(Population Education, 2023;","unsorted":true,"formattedCitation":"(Population Education, 2023;","plainCitation":"(Population Education, 2023;","noteIndex":18},"citationItems":[{"id":3870,"uris":["http://zotero.org/users/8040504/items/7DPFSNU7"],"itemData":{"id":3870,"type":"webpage","container-title":"Population Education. A program of population connection","title":"What is the Demographic Transition Model?","URL":"https://populationeducation.org/what-demographic-transition-model/","author":[{"family":"Population Education","given":""}],"issued":{"date-parts":[["2023"]]}}}],"schema":"https://github.com/citation-style-language/schema/raw/master/csl-citation.json"} </w:instrText>
      </w:r>
      <w:r>
        <w:fldChar w:fldCharType="separate"/>
      </w:r>
      <w:r w:rsidRPr="00CB4EF9">
        <w:t>(Population Education, 2023;</w:t>
      </w:r>
      <w:r>
        <w:fldChar w:fldCharType="end"/>
      </w:r>
      <w:r>
        <w:t xml:space="preserve"> </w:t>
      </w:r>
      <w:r>
        <w:fldChar w:fldCharType="begin"/>
      </w:r>
      <w:r w:rsidR="007048ED">
        <w:instrText xml:space="preserve"> ADDIN ZOTERO_ITEM CSL_CITATION {"citationID":"9esAAxBX","properties":{"custom":"Razpotnik, 2021a","formattedCitation":"Razpotnik, 2021a","plainCitation":"Razpotnik, 2021a","noteIndex":18},"citationItems":[{"id":3862,"uris":["http://zotero.org/users/8040504/items/EH4Z3NF6"],"itemData":{"id":3862,"type":"document","language":"sl","publisher":"Statistični urad RS.","source":"Zotero","title":"Prebivalstvo. Metodološko pojasnilo.","URL":"https://www.stat.si/statweb/File/DocSysFile/7808","author":[{"family":"Razpotnik","given":"Barica"}],"issued":{"date-parts":[["2021"]]}}}],"schema":"https://github.com/citation-style-language/schema/raw/master/csl-citation.json"} </w:instrText>
      </w:r>
      <w:r>
        <w:fldChar w:fldCharType="separate"/>
      </w:r>
      <w:r w:rsidRPr="00CB4EF9">
        <w:t>Razpotnik, 2021a</w:t>
      </w:r>
      <w:r>
        <w:fldChar w:fldCharType="end"/>
      </w:r>
      <w:r>
        <w:t xml:space="preserve">; </w:t>
      </w:r>
      <w:r>
        <w:fldChar w:fldCharType="begin"/>
      </w:r>
      <w:r w:rsidR="007048ED">
        <w:instrText xml:space="preserve"> ADDIN ZOTERO_ITEM CSL_CITATION {"citationID":"Yw0psng0","properties":{"custom":"\\uc0\\u352{}ircelj, 2020","formattedCitation":"\\uc0\\u352{}ircelj, 2020","plainCitation":"Šircelj, 2020","noteIndex":18},"citationItems":[{"id":3865,"uris":["http://zotero.org/users/8040504/items/842IJGIC"],"itemData":{"id":3865,"type":"book","event-place":"Ljubljana","publisher":"Fakulteta za družbene vede","publisher-place":"Ljubljana","title":"Osnove demografije in demografski razvoj Slovenije","author":[{"family":"Šircelj","given":"Milivoja Vida"}],"issued":{"date-parts":[["2020"]]}}}],"schema":"https://github.com/citation-style-language/schema/raw/master/csl-citation.json"} </w:instrText>
      </w:r>
      <w:r>
        <w:fldChar w:fldCharType="separate"/>
      </w:r>
      <w:r w:rsidRPr="0037492B">
        <w:rPr>
          <w:rFonts w:cs="Times New Roman"/>
          <w:szCs w:val="24"/>
        </w:rPr>
        <w:t>Šircelj, 2020</w:t>
      </w:r>
      <w:r>
        <w:fldChar w:fldCharType="end"/>
      </w:r>
      <w:r>
        <w:t xml:space="preserve">; </w:t>
      </w:r>
      <w:r>
        <w:fldChar w:fldCharType="begin"/>
      </w:r>
      <w:r w:rsidR="007048ED">
        <w:instrText xml:space="preserve"> ADDIN ZOTERO_ITEM CSL_CITATION {"citationID":"R93ykdrK","properties":{"custom":"\\uc0\\u352{}ter, 2023","formattedCitation":"\\uc0\\u352{}ter, 2023","plainCitation":"Šter, 2023","noteIndex":18},"citationItems":[{"id":880,"uris":["http://zotero.org/users/8040504/items/NVGG4SIF"],"itemData":{"id":880,"type":"document","language":"sl","publisher":"Statistični urad RS","source":"Zotero","title":"Umrli. Metodološko pojasnilo","URL":"https://www.stat.si/statweb/File/DocSysFile/9513","author":[{"family":"Šter","given":"Darja"}],"issued":{"date-parts":[["2023"]]}}}],"schema":"https://github.com/citation-style-language/schema/raw/master/csl-citation.json"} </w:instrText>
      </w:r>
      <w:r>
        <w:fldChar w:fldCharType="separate"/>
      </w:r>
      <w:r w:rsidRPr="0037492B">
        <w:rPr>
          <w:rFonts w:cs="Times New Roman"/>
          <w:szCs w:val="24"/>
        </w:rPr>
        <w:t>Šter, 2023</w:t>
      </w:r>
      <w:r>
        <w:fldChar w:fldCharType="end"/>
      </w:r>
      <w:r>
        <w:t xml:space="preserve">; </w:t>
      </w:r>
      <w:r>
        <w:fldChar w:fldCharType="begin"/>
      </w:r>
      <w:r w:rsidR="007048ED">
        <w:instrText xml:space="preserve"> ADDIN ZOTERO_ITEM CSL_CITATION {"citationID":"qeXvYuQy","properties":{"custom":"\\uc0\\u381{}nidar\\uc0\\u353{}i\\uc0\\u269{}, 2023)","formattedCitation":"\\uc0\\u381{}nidar\\uc0\\u353{}i\\uc0\\u269{}, 2023)","plainCitation":"Žnidaršič, 2023)","noteIndex":18},"citationItems":[{"id":3859,"uris":["http://zotero.org/users/8040504/items/GJEHQ6QG"],"itemData":{"id":3859,"type":"document","publisher":"Statistični urad RS","title":"Rojeni. Metodološko pojasnilo.","URL":"https://www.stat.si/statweb/File/DocSysFile/9520","author":[{"family":"Žnidaršič","given":"Martina"}],"issued":{"date-parts":[["2023"]]}}}],"schema":"https://github.com/citation-style-language/schema/raw/master/csl-citation.json"} </w:instrText>
      </w:r>
      <w:r>
        <w:fldChar w:fldCharType="separate"/>
      </w:r>
      <w:r w:rsidRPr="0037492B">
        <w:rPr>
          <w:rFonts w:cs="Times New Roman"/>
          <w:szCs w:val="24"/>
        </w:rPr>
        <w:t>Žnidaršič, 2023)</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CF1678" w:rsidRPr="00A540FA" w14:paraId="5F526EB5" w14:textId="77777777" w:rsidTr="00287C4E">
      <w:trPr>
        <w:trHeight w:val="552"/>
      </w:trPr>
      <w:tc>
        <w:tcPr>
          <w:tcW w:w="8276" w:type="dxa"/>
        </w:tcPr>
        <w:p w14:paraId="1509A1C0" w14:textId="7879064D" w:rsidR="00CF1678" w:rsidRPr="00F43CB0" w:rsidRDefault="00CF1678" w:rsidP="004016AB">
          <w:pPr>
            <w:pStyle w:val="Header"/>
            <w:tabs>
              <w:tab w:val="clear" w:pos="4536"/>
              <w:tab w:val="clear" w:pos="9072"/>
              <w:tab w:val="right" w:pos="8276"/>
            </w:tabs>
            <w:spacing w:line="240" w:lineRule="auto"/>
            <w:rPr>
              <w:rFonts w:cstheme="minorHAnsi"/>
              <w:b/>
              <w:sz w:val="16"/>
            </w:rPr>
          </w:pPr>
          <w:r w:rsidRPr="00B84C29">
            <w:rPr>
              <w:rFonts w:cstheme="minorHAnsi"/>
              <w:sz w:val="16"/>
            </w:rPr>
            <w:t>UMAR</w:t>
          </w:r>
          <w:r w:rsidR="00B84C29">
            <w:rPr>
              <w:rFonts w:cstheme="minorHAnsi"/>
              <w:b/>
              <w:sz w:val="16"/>
            </w:rPr>
            <w:t xml:space="preserve"> </w:t>
          </w:r>
          <w:r>
            <w:rPr>
              <w:rFonts w:cstheme="minorHAnsi"/>
              <w:b/>
              <w:sz w:val="16"/>
            </w:rPr>
            <w:t xml:space="preserve"> </w:t>
          </w:r>
          <w:r w:rsidRPr="00F43CB0">
            <w:rPr>
              <w:rFonts w:cstheme="minorHAnsi"/>
              <w:noProof/>
              <w:lang w:eastAsia="sl-SI"/>
            </w:rPr>
            <w:drawing>
              <wp:inline distT="0" distB="0" distL="0" distR="0" wp14:anchorId="7E39233A" wp14:editId="71095277">
                <wp:extent cx="58825" cy="763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w:t>
          </w:r>
          <w:r w:rsidR="00B84C29">
            <w:rPr>
              <w:rFonts w:cstheme="minorHAnsi"/>
              <w:b/>
              <w:sz w:val="16"/>
            </w:rPr>
            <w:t xml:space="preserve"> </w:t>
          </w:r>
          <w:r w:rsidRPr="00B84C29">
            <w:rPr>
              <w:rFonts w:cstheme="minorHAnsi"/>
              <w:sz w:val="16"/>
            </w:rPr>
            <w:t>Projekcije EUROPOP2023 in demografska slika Slovenije</w:t>
          </w:r>
          <w:r>
            <w:rPr>
              <w:rFonts w:cstheme="minorHAnsi"/>
              <w:b/>
              <w:sz w:val="16"/>
            </w:rPr>
            <w:tab/>
          </w:r>
        </w:p>
      </w:tc>
      <w:tc>
        <w:tcPr>
          <w:tcW w:w="796" w:type="dxa"/>
        </w:tcPr>
        <w:p w14:paraId="2D8EEE23" w14:textId="77777777" w:rsidR="00CF1678" w:rsidRPr="00B607E3" w:rsidRDefault="00CF1678"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2FF184D6" w14:textId="77777777" w:rsidR="00CF1678" w:rsidRDefault="00CF1678" w:rsidP="005F2E5D">
    <w:pPr>
      <w:pStyle w:val="VirUM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DB4E87"/>
    <w:multiLevelType w:val="hybridMultilevel"/>
    <w:tmpl w:val="C7465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4B5B4A"/>
    <w:multiLevelType w:val="hybridMultilevel"/>
    <w:tmpl w:val="C4F43E8C"/>
    <w:lvl w:ilvl="0" w:tplc="C1E03754">
      <w:numFmt w:val="bullet"/>
      <w:lvlText w:val="-"/>
      <w:lvlJc w:val="left"/>
      <w:pPr>
        <w:ind w:left="720" w:hanging="360"/>
      </w:pPr>
      <w:rPr>
        <w:rFonts w:ascii="Myriad Pro" w:eastAsiaTheme="minorHAnsi" w:hAnsi="Myria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4BB05BB"/>
    <w:multiLevelType w:val="multilevel"/>
    <w:tmpl w:val="EB082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51841EF"/>
    <w:multiLevelType w:val="hybridMultilevel"/>
    <w:tmpl w:val="A75E5B46"/>
    <w:lvl w:ilvl="0" w:tplc="C1E03754">
      <w:numFmt w:val="bullet"/>
      <w:lvlText w:val="-"/>
      <w:lvlJc w:val="left"/>
      <w:pPr>
        <w:ind w:left="720" w:hanging="360"/>
      </w:pPr>
      <w:rPr>
        <w:rFonts w:ascii="Myriad Pro" w:eastAsiaTheme="minorHAnsi" w:hAnsi="Myria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0"/>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5"/>
  </w:num>
  <w:num w:numId="13">
    <w:abstractNumId w:val="1"/>
  </w:num>
  <w:num w:numId="14">
    <w:abstractNumId w:val="6"/>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D4"/>
    <w:rsid w:val="0000131A"/>
    <w:rsid w:val="00001E63"/>
    <w:rsid w:val="000026EC"/>
    <w:rsid w:val="00002CAF"/>
    <w:rsid w:val="000032F1"/>
    <w:rsid w:val="00003E9D"/>
    <w:rsid w:val="00004A67"/>
    <w:rsid w:val="00004DAC"/>
    <w:rsid w:val="000054CD"/>
    <w:rsid w:val="00006657"/>
    <w:rsid w:val="00006975"/>
    <w:rsid w:val="00006BC6"/>
    <w:rsid w:val="000071B5"/>
    <w:rsid w:val="00007509"/>
    <w:rsid w:val="00007571"/>
    <w:rsid w:val="00007719"/>
    <w:rsid w:val="0000799D"/>
    <w:rsid w:val="00007B32"/>
    <w:rsid w:val="000129DA"/>
    <w:rsid w:val="00012C87"/>
    <w:rsid w:val="00013848"/>
    <w:rsid w:val="000141E1"/>
    <w:rsid w:val="00014305"/>
    <w:rsid w:val="000144D1"/>
    <w:rsid w:val="00014DA7"/>
    <w:rsid w:val="0001557E"/>
    <w:rsid w:val="00015946"/>
    <w:rsid w:val="0001682A"/>
    <w:rsid w:val="00017649"/>
    <w:rsid w:val="0001764F"/>
    <w:rsid w:val="00021509"/>
    <w:rsid w:val="00022158"/>
    <w:rsid w:val="000222B4"/>
    <w:rsid w:val="00023A5C"/>
    <w:rsid w:val="00023FFD"/>
    <w:rsid w:val="0002452C"/>
    <w:rsid w:val="00024A1E"/>
    <w:rsid w:val="00024C6B"/>
    <w:rsid w:val="00024FA0"/>
    <w:rsid w:val="00025AFA"/>
    <w:rsid w:val="000260B8"/>
    <w:rsid w:val="0002629E"/>
    <w:rsid w:val="00026330"/>
    <w:rsid w:val="000265C9"/>
    <w:rsid w:val="000267E2"/>
    <w:rsid w:val="00026ACB"/>
    <w:rsid w:val="000277E0"/>
    <w:rsid w:val="00027EA7"/>
    <w:rsid w:val="0003011B"/>
    <w:rsid w:val="00030B78"/>
    <w:rsid w:val="00030EC2"/>
    <w:rsid w:val="00033FF7"/>
    <w:rsid w:val="00034D2A"/>
    <w:rsid w:val="000356AC"/>
    <w:rsid w:val="00035948"/>
    <w:rsid w:val="00035FBD"/>
    <w:rsid w:val="0003605F"/>
    <w:rsid w:val="000365D0"/>
    <w:rsid w:val="0003751E"/>
    <w:rsid w:val="00037DDD"/>
    <w:rsid w:val="00041062"/>
    <w:rsid w:val="0004147D"/>
    <w:rsid w:val="00041BCA"/>
    <w:rsid w:val="00041E59"/>
    <w:rsid w:val="00042775"/>
    <w:rsid w:val="00042B8F"/>
    <w:rsid w:val="000438D4"/>
    <w:rsid w:val="00043CCF"/>
    <w:rsid w:val="00044C8B"/>
    <w:rsid w:val="000465C5"/>
    <w:rsid w:val="0004675F"/>
    <w:rsid w:val="0005033A"/>
    <w:rsid w:val="0005187D"/>
    <w:rsid w:val="00052E78"/>
    <w:rsid w:val="0005375E"/>
    <w:rsid w:val="0005395C"/>
    <w:rsid w:val="00053BBF"/>
    <w:rsid w:val="00053E6A"/>
    <w:rsid w:val="00053EA2"/>
    <w:rsid w:val="00054645"/>
    <w:rsid w:val="00054661"/>
    <w:rsid w:val="0005475A"/>
    <w:rsid w:val="000547F0"/>
    <w:rsid w:val="00055E19"/>
    <w:rsid w:val="000572B9"/>
    <w:rsid w:val="0005741A"/>
    <w:rsid w:val="00057569"/>
    <w:rsid w:val="0005785E"/>
    <w:rsid w:val="00057C74"/>
    <w:rsid w:val="00060302"/>
    <w:rsid w:val="000603BF"/>
    <w:rsid w:val="00061D1E"/>
    <w:rsid w:val="00065347"/>
    <w:rsid w:val="00065EE3"/>
    <w:rsid w:val="00066A45"/>
    <w:rsid w:val="00066AAC"/>
    <w:rsid w:val="000677D6"/>
    <w:rsid w:val="0007025B"/>
    <w:rsid w:val="00070698"/>
    <w:rsid w:val="00070B55"/>
    <w:rsid w:val="000713C7"/>
    <w:rsid w:val="00071534"/>
    <w:rsid w:val="00072A82"/>
    <w:rsid w:val="00072E0A"/>
    <w:rsid w:val="0007354C"/>
    <w:rsid w:val="00073B97"/>
    <w:rsid w:val="000747E9"/>
    <w:rsid w:val="000748E2"/>
    <w:rsid w:val="00074DEB"/>
    <w:rsid w:val="00074F10"/>
    <w:rsid w:val="00075745"/>
    <w:rsid w:val="00075B33"/>
    <w:rsid w:val="00075D73"/>
    <w:rsid w:val="000760E8"/>
    <w:rsid w:val="00076F28"/>
    <w:rsid w:val="00077993"/>
    <w:rsid w:val="00077C63"/>
    <w:rsid w:val="00077E9C"/>
    <w:rsid w:val="000804F5"/>
    <w:rsid w:val="0008109A"/>
    <w:rsid w:val="000818D6"/>
    <w:rsid w:val="000819F3"/>
    <w:rsid w:val="00081C7E"/>
    <w:rsid w:val="000826E9"/>
    <w:rsid w:val="000839B7"/>
    <w:rsid w:val="00083E22"/>
    <w:rsid w:val="00084484"/>
    <w:rsid w:val="00084F2A"/>
    <w:rsid w:val="000859E2"/>
    <w:rsid w:val="000907BF"/>
    <w:rsid w:val="000917C6"/>
    <w:rsid w:val="000918F3"/>
    <w:rsid w:val="000923CA"/>
    <w:rsid w:val="0009247A"/>
    <w:rsid w:val="000929C6"/>
    <w:rsid w:val="00092DA8"/>
    <w:rsid w:val="000936DA"/>
    <w:rsid w:val="00093DDE"/>
    <w:rsid w:val="000958DE"/>
    <w:rsid w:val="00095EDD"/>
    <w:rsid w:val="0009608B"/>
    <w:rsid w:val="00096797"/>
    <w:rsid w:val="000968B4"/>
    <w:rsid w:val="000969D0"/>
    <w:rsid w:val="00096DB6"/>
    <w:rsid w:val="0009730E"/>
    <w:rsid w:val="00097D19"/>
    <w:rsid w:val="000A0013"/>
    <w:rsid w:val="000A098A"/>
    <w:rsid w:val="000A0C3A"/>
    <w:rsid w:val="000A0C95"/>
    <w:rsid w:val="000A0FCC"/>
    <w:rsid w:val="000A13EF"/>
    <w:rsid w:val="000A178D"/>
    <w:rsid w:val="000A1F78"/>
    <w:rsid w:val="000A23DB"/>
    <w:rsid w:val="000A32D1"/>
    <w:rsid w:val="000A378D"/>
    <w:rsid w:val="000A3A16"/>
    <w:rsid w:val="000A3BD0"/>
    <w:rsid w:val="000A4905"/>
    <w:rsid w:val="000A528A"/>
    <w:rsid w:val="000A616E"/>
    <w:rsid w:val="000A6CB2"/>
    <w:rsid w:val="000A6E55"/>
    <w:rsid w:val="000A74B7"/>
    <w:rsid w:val="000A78C0"/>
    <w:rsid w:val="000B0C00"/>
    <w:rsid w:val="000B0C7C"/>
    <w:rsid w:val="000B177F"/>
    <w:rsid w:val="000B1E80"/>
    <w:rsid w:val="000B256A"/>
    <w:rsid w:val="000B2CC4"/>
    <w:rsid w:val="000B3257"/>
    <w:rsid w:val="000B3619"/>
    <w:rsid w:val="000B48FF"/>
    <w:rsid w:val="000B5215"/>
    <w:rsid w:val="000B532F"/>
    <w:rsid w:val="000B6F33"/>
    <w:rsid w:val="000B753E"/>
    <w:rsid w:val="000B75F3"/>
    <w:rsid w:val="000C1335"/>
    <w:rsid w:val="000C1C5A"/>
    <w:rsid w:val="000C2CAF"/>
    <w:rsid w:val="000C357D"/>
    <w:rsid w:val="000C43BF"/>
    <w:rsid w:val="000C4A3F"/>
    <w:rsid w:val="000C4E62"/>
    <w:rsid w:val="000C5063"/>
    <w:rsid w:val="000C66F6"/>
    <w:rsid w:val="000C7066"/>
    <w:rsid w:val="000D0C8F"/>
    <w:rsid w:val="000D0EB2"/>
    <w:rsid w:val="000D109D"/>
    <w:rsid w:val="000D1E72"/>
    <w:rsid w:val="000D324B"/>
    <w:rsid w:val="000D350D"/>
    <w:rsid w:val="000D37F8"/>
    <w:rsid w:val="000D3936"/>
    <w:rsid w:val="000D4405"/>
    <w:rsid w:val="000D4CA8"/>
    <w:rsid w:val="000D6DEF"/>
    <w:rsid w:val="000D7520"/>
    <w:rsid w:val="000D7640"/>
    <w:rsid w:val="000E0702"/>
    <w:rsid w:val="000E0811"/>
    <w:rsid w:val="000E0B25"/>
    <w:rsid w:val="000E1358"/>
    <w:rsid w:val="000E2148"/>
    <w:rsid w:val="000E38A1"/>
    <w:rsid w:val="000E3BEC"/>
    <w:rsid w:val="000E462C"/>
    <w:rsid w:val="000E47BD"/>
    <w:rsid w:val="000E4F9F"/>
    <w:rsid w:val="000E5153"/>
    <w:rsid w:val="000E678F"/>
    <w:rsid w:val="000E70CE"/>
    <w:rsid w:val="000E76FD"/>
    <w:rsid w:val="000E7A50"/>
    <w:rsid w:val="000E7AE6"/>
    <w:rsid w:val="000E7B27"/>
    <w:rsid w:val="000E7BCB"/>
    <w:rsid w:val="000F0126"/>
    <w:rsid w:val="000F0B06"/>
    <w:rsid w:val="000F16A9"/>
    <w:rsid w:val="000F1C43"/>
    <w:rsid w:val="000F1DF1"/>
    <w:rsid w:val="000F23D6"/>
    <w:rsid w:val="000F291B"/>
    <w:rsid w:val="000F2B1C"/>
    <w:rsid w:val="000F3185"/>
    <w:rsid w:val="000F37C8"/>
    <w:rsid w:val="000F49C8"/>
    <w:rsid w:val="000F60BC"/>
    <w:rsid w:val="000F6E12"/>
    <w:rsid w:val="000F6F37"/>
    <w:rsid w:val="000F6F5D"/>
    <w:rsid w:val="000F7EC0"/>
    <w:rsid w:val="001000BE"/>
    <w:rsid w:val="00100391"/>
    <w:rsid w:val="00100DB9"/>
    <w:rsid w:val="0010181B"/>
    <w:rsid w:val="00102756"/>
    <w:rsid w:val="0010366B"/>
    <w:rsid w:val="001037EE"/>
    <w:rsid w:val="00104828"/>
    <w:rsid w:val="0010507E"/>
    <w:rsid w:val="00105715"/>
    <w:rsid w:val="00105A87"/>
    <w:rsid w:val="00105D12"/>
    <w:rsid w:val="00105D95"/>
    <w:rsid w:val="001069D8"/>
    <w:rsid w:val="00106B4D"/>
    <w:rsid w:val="00106BE5"/>
    <w:rsid w:val="00107A6B"/>
    <w:rsid w:val="00107A7C"/>
    <w:rsid w:val="00110C49"/>
    <w:rsid w:val="00110FEB"/>
    <w:rsid w:val="00111E58"/>
    <w:rsid w:val="0011502E"/>
    <w:rsid w:val="00115051"/>
    <w:rsid w:val="001153EC"/>
    <w:rsid w:val="0011551D"/>
    <w:rsid w:val="00115EE2"/>
    <w:rsid w:val="00116E69"/>
    <w:rsid w:val="001170C5"/>
    <w:rsid w:val="00117115"/>
    <w:rsid w:val="001172C7"/>
    <w:rsid w:val="00117342"/>
    <w:rsid w:val="00117796"/>
    <w:rsid w:val="0011783D"/>
    <w:rsid w:val="00120C8A"/>
    <w:rsid w:val="00120E8B"/>
    <w:rsid w:val="00121772"/>
    <w:rsid w:val="00123220"/>
    <w:rsid w:val="00123558"/>
    <w:rsid w:val="00124C9D"/>
    <w:rsid w:val="00124E4A"/>
    <w:rsid w:val="00125006"/>
    <w:rsid w:val="00125AD0"/>
    <w:rsid w:val="00125C21"/>
    <w:rsid w:val="00127B1E"/>
    <w:rsid w:val="00130A1A"/>
    <w:rsid w:val="001320FB"/>
    <w:rsid w:val="0013312D"/>
    <w:rsid w:val="0013548A"/>
    <w:rsid w:val="00135CF8"/>
    <w:rsid w:val="00137AB5"/>
    <w:rsid w:val="00137B21"/>
    <w:rsid w:val="001406F5"/>
    <w:rsid w:val="00140706"/>
    <w:rsid w:val="00141E1A"/>
    <w:rsid w:val="00143E7F"/>
    <w:rsid w:val="00143F8E"/>
    <w:rsid w:val="00144CE4"/>
    <w:rsid w:val="00144E02"/>
    <w:rsid w:val="00145193"/>
    <w:rsid w:val="001455D8"/>
    <w:rsid w:val="0014614A"/>
    <w:rsid w:val="00146335"/>
    <w:rsid w:val="00146CAA"/>
    <w:rsid w:val="00150BFF"/>
    <w:rsid w:val="00150E9F"/>
    <w:rsid w:val="00152544"/>
    <w:rsid w:val="0015425A"/>
    <w:rsid w:val="001549A9"/>
    <w:rsid w:val="0015528E"/>
    <w:rsid w:val="00156F48"/>
    <w:rsid w:val="0015734E"/>
    <w:rsid w:val="00157A2A"/>
    <w:rsid w:val="00161445"/>
    <w:rsid w:val="00161611"/>
    <w:rsid w:val="0016173F"/>
    <w:rsid w:val="00162561"/>
    <w:rsid w:val="00162B34"/>
    <w:rsid w:val="00164E3C"/>
    <w:rsid w:val="00165810"/>
    <w:rsid w:val="001673B5"/>
    <w:rsid w:val="001673FC"/>
    <w:rsid w:val="001707B6"/>
    <w:rsid w:val="001709CB"/>
    <w:rsid w:val="00171151"/>
    <w:rsid w:val="00171AA9"/>
    <w:rsid w:val="00171E86"/>
    <w:rsid w:val="00173B59"/>
    <w:rsid w:val="001744DE"/>
    <w:rsid w:val="00174D04"/>
    <w:rsid w:val="00174DD7"/>
    <w:rsid w:val="00174E5A"/>
    <w:rsid w:val="001750CE"/>
    <w:rsid w:val="00175219"/>
    <w:rsid w:val="00175719"/>
    <w:rsid w:val="00175D93"/>
    <w:rsid w:val="00175F79"/>
    <w:rsid w:val="001764AB"/>
    <w:rsid w:val="00176EC2"/>
    <w:rsid w:val="001770F0"/>
    <w:rsid w:val="00177C91"/>
    <w:rsid w:val="001800CD"/>
    <w:rsid w:val="001801FD"/>
    <w:rsid w:val="0018133C"/>
    <w:rsid w:val="00181502"/>
    <w:rsid w:val="00181CCA"/>
    <w:rsid w:val="00184CB4"/>
    <w:rsid w:val="0018519C"/>
    <w:rsid w:val="00186355"/>
    <w:rsid w:val="001866B9"/>
    <w:rsid w:val="001869B0"/>
    <w:rsid w:val="00186C35"/>
    <w:rsid w:val="00186F06"/>
    <w:rsid w:val="0018747A"/>
    <w:rsid w:val="00187494"/>
    <w:rsid w:val="00187DE6"/>
    <w:rsid w:val="00190087"/>
    <w:rsid w:val="001908FD"/>
    <w:rsid w:val="00190EB3"/>
    <w:rsid w:val="001910C2"/>
    <w:rsid w:val="001917B6"/>
    <w:rsid w:val="00192443"/>
    <w:rsid w:val="00194549"/>
    <w:rsid w:val="00194B8A"/>
    <w:rsid w:val="00194DAD"/>
    <w:rsid w:val="00195BB1"/>
    <w:rsid w:val="00195F97"/>
    <w:rsid w:val="001962C5"/>
    <w:rsid w:val="0019720D"/>
    <w:rsid w:val="001A0885"/>
    <w:rsid w:val="001A1629"/>
    <w:rsid w:val="001A2103"/>
    <w:rsid w:val="001A2322"/>
    <w:rsid w:val="001A2B3E"/>
    <w:rsid w:val="001A30F2"/>
    <w:rsid w:val="001A3F1B"/>
    <w:rsid w:val="001A539D"/>
    <w:rsid w:val="001A629C"/>
    <w:rsid w:val="001A6CF0"/>
    <w:rsid w:val="001A798D"/>
    <w:rsid w:val="001B04AF"/>
    <w:rsid w:val="001B2F40"/>
    <w:rsid w:val="001B569F"/>
    <w:rsid w:val="001B56EA"/>
    <w:rsid w:val="001B6398"/>
    <w:rsid w:val="001C0983"/>
    <w:rsid w:val="001C200C"/>
    <w:rsid w:val="001C20B3"/>
    <w:rsid w:val="001C2D34"/>
    <w:rsid w:val="001C3A0A"/>
    <w:rsid w:val="001C40C0"/>
    <w:rsid w:val="001C4180"/>
    <w:rsid w:val="001C487D"/>
    <w:rsid w:val="001C4D46"/>
    <w:rsid w:val="001C55E6"/>
    <w:rsid w:val="001C57FA"/>
    <w:rsid w:val="001C5AF2"/>
    <w:rsid w:val="001C71D0"/>
    <w:rsid w:val="001C7892"/>
    <w:rsid w:val="001D0A6E"/>
    <w:rsid w:val="001D0B2F"/>
    <w:rsid w:val="001D0E4F"/>
    <w:rsid w:val="001D0ED1"/>
    <w:rsid w:val="001D17BA"/>
    <w:rsid w:val="001D1834"/>
    <w:rsid w:val="001D2CFC"/>
    <w:rsid w:val="001D3A3F"/>
    <w:rsid w:val="001D4458"/>
    <w:rsid w:val="001D587F"/>
    <w:rsid w:val="001D5D88"/>
    <w:rsid w:val="001D60B5"/>
    <w:rsid w:val="001D65E7"/>
    <w:rsid w:val="001D663D"/>
    <w:rsid w:val="001D7B8C"/>
    <w:rsid w:val="001D7D0E"/>
    <w:rsid w:val="001E07FD"/>
    <w:rsid w:val="001E0960"/>
    <w:rsid w:val="001E3FC4"/>
    <w:rsid w:val="001E5862"/>
    <w:rsid w:val="001E58DD"/>
    <w:rsid w:val="001E5A1D"/>
    <w:rsid w:val="001E6D98"/>
    <w:rsid w:val="001E7BEE"/>
    <w:rsid w:val="001E7E56"/>
    <w:rsid w:val="001F032B"/>
    <w:rsid w:val="001F0482"/>
    <w:rsid w:val="001F1537"/>
    <w:rsid w:val="001F166C"/>
    <w:rsid w:val="001F1F26"/>
    <w:rsid w:val="001F24CE"/>
    <w:rsid w:val="001F255E"/>
    <w:rsid w:val="001F259A"/>
    <w:rsid w:val="001F320E"/>
    <w:rsid w:val="001F379C"/>
    <w:rsid w:val="001F3DA3"/>
    <w:rsid w:val="001F4257"/>
    <w:rsid w:val="001F4FB8"/>
    <w:rsid w:val="001F55AA"/>
    <w:rsid w:val="001F60CF"/>
    <w:rsid w:val="001F62CF"/>
    <w:rsid w:val="001F7279"/>
    <w:rsid w:val="00200FF0"/>
    <w:rsid w:val="00203C04"/>
    <w:rsid w:val="00203E0D"/>
    <w:rsid w:val="002042AA"/>
    <w:rsid w:val="002044B0"/>
    <w:rsid w:val="0020478B"/>
    <w:rsid w:val="00205616"/>
    <w:rsid w:val="00205A61"/>
    <w:rsid w:val="00205AE5"/>
    <w:rsid w:val="00206850"/>
    <w:rsid w:val="002069D5"/>
    <w:rsid w:val="00207307"/>
    <w:rsid w:val="002073F1"/>
    <w:rsid w:val="002077D7"/>
    <w:rsid w:val="002111FC"/>
    <w:rsid w:val="002117F2"/>
    <w:rsid w:val="0021225B"/>
    <w:rsid w:val="00212645"/>
    <w:rsid w:val="00212697"/>
    <w:rsid w:val="002131A6"/>
    <w:rsid w:val="00213B63"/>
    <w:rsid w:val="00214084"/>
    <w:rsid w:val="00214A8B"/>
    <w:rsid w:val="00215319"/>
    <w:rsid w:val="00215C51"/>
    <w:rsid w:val="00216F27"/>
    <w:rsid w:val="00217E32"/>
    <w:rsid w:val="0022042C"/>
    <w:rsid w:val="00220A86"/>
    <w:rsid w:val="00220A96"/>
    <w:rsid w:val="00220E84"/>
    <w:rsid w:val="00220ECC"/>
    <w:rsid w:val="002225D3"/>
    <w:rsid w:val="00222C5F"/>
    <w:rsid w:val="00225054"/>
    <w:rsid w:val="00225170"/>
    <w:rsid w:val="0022533F"/>
    <w:rsid w:val="002257A9"/>
    <w:rsid w:val="0022587C"/>
    <w:rsid w:val="00225FB6"/>
    <w:rsid w:val="002263AB"/>
    <w:rsid w:val="00227809"/>
    <w:rsid w:val="00230DE5"/>
    <w:rsid w:val="0023124D"/>
    <w:rsid w:val="002325A9"/>
    <w:rsid w:val="00232BBE"/>
    <w:rsid w:val="00232E07"/>
    <w:rsid w:val="00233A37"/>
    <w:rsid w:val="0023463D"/>
    <w:rsid w:val="00234DFD"/>
    <w:rsid w:val="00234F2F"/>
    <w:rsid w:val="002350D1"/>
    <w:rsid w:val="00235A8C"/>
    <w:rsid w:val="00235D06"/>
    <w:rsid w:val="00235E12"/>
    <w:rsid w:val="00237447"/>
    <w:rsid w:val="00237532"/>
    <w:rsid w:val="00240EE4"/>
    <w:rsid w:val="00242866"/>
    <w:rsid w:val="00242B94"/>
    <w:rsid w:val="0024380E"/>
    <w:rsid w:val="00243D25"/>
    <w:rsid w:val="00243D2D"/>
    <w:rsid w:val="002445C0"/>
    <w:rsid w:val="00244E0B"/>
    <w:rsid w:val="0024505E"/>
    <w:rsid w:val="0024559A"/>
    <w:rsid w:val="0024627B"/>
    <w:rsid w:val="002470C2"/>
    <w:rsid w:val="002475D1"/>
    <w:rsid w:val="00247D90"/>
    <w:rsid w:val="00250B99"/>
    <w:rsid w:val="002515EF"/>
    <w:rsid w:val="00251932"/>
    <w:rsid w:val="00251BCE"/>
    <w:rsid w:val="00252660"/>
    <w:rsid w:val="00252F81"/>
    <w:rsid w:val="002530CD"/>
    <w:rsid w:val="002531D4"/>
    <w:rsid w:val="00253224"/>
    <w:rsid w:val="00253567"/>
    <w:rsid w:val="002546DA"/>
    <w:rsid w:val="00254C35"/>
    <w:rsid w:val="00256021"/>
    <w:rsid w:val="002572F0"/>
    <w:rsid w:val="002577FF"/>
    <w:rsid w:val="0026009F"/>
    <w:rsid w:val="002608D7"/>
    <w:rsid w:val="00260E7B"/>
    <w:rsid w:val="00261F59"/>
    <w:rsid w:val="002628DA"/>
    <w:rsid w:val="00262DEE"/>
    <w:rsid w:val="00263E3D"/>
    <w:rsid w:val="00265B02"/>
    <w:rsid w:val="00265E7B"/>
    <w:rsid w:val="00266B89"/>
    <w:rsid w:val="00267041"/>
    <w:rsid w:val="00267A68"/>
    <w:rsid w:val="00271DD8"/>
    <w:rsid w:val="002721BA"/>
    <w:rsid w:val="002724CD"/>
    <w:rsid w:val="00272B32"/>
    <w:rsid w:val="00272C68"/>
    <w:rsid w:val="002739E9"/>
    <w:rsid w:val="00273C4A"/>
    <w:rsid w:val="00273F4A"/>
    <w:rsid w:val="00274A6B"/>
    <w:rsid w:val="002750B5"/>
    <w:rsid w:val="00275CAC"/>
    <w:rsid w:val="00276C90"/>
    <w:rsid w:val="002800D2"/>
    <w:rsid w:val="002805A6"/>
    <w:rsid w:val="00280C56"/>
    <w:rsid w:val="00281355"/>
    <w:rsid w:val="002817A6"/>
    <w:rsid w:val="00281C2E"/>
    <w:rsid w:val="0028253A"/>
    <w:rsid w:val="00282A01"/>
    <w:rsid w:val="00284C4D"/>
    <w:rsid w:val="00285724"/>
    <w:rsid w:val="00285EA2"/>
    <w:rsid w:val="0028603A"/>
    <w:rsid w:val="00286872"/>
    <w:rsid w:val="0028729C"/>
    <w:rsid w:val="00287615"/>
    <w:rsid w:val="00287C4E"/>
    <w:rsid w:val="002901C9"/>
    <w:rsid w:val="0029032C"/>
    <w:rsid w:val="0029035C"/>
    <w:rsid w:val="00290BB0"/>
    <w:rsid w:val="00291052"/>
    <w:rsid w:val="00291623"/>
    <w:rsid w:val="00291B55"/>
    <w:rsid w:val="0029204B"/>
    <w:rsid w:val="00294A16"/>
    <w:rsid w:val="00295010"/>
    <w:rsid w:val="0029510A"/>
    <w:rsid w:val="00295489"/>
    <w:rsid w:val="00295807"/>
    <w:rsid w:val="00295E4D"/>
    <w:rsid w:val="00295E5E"/>
    <w:rsid w:val="00296097"/>
    <w:rsid w:val="00296655"/>
    <w:rsid w:val="00296ADF"/>
    <w:rsid w:val="00296B59"/>
    <w:rsid w:val="0029738E"/>
    <w:rsid w:val="002A0E59"/>
    <w:rsid w:val="002A1940"/>
    <w:rsid w:val="002A368E"/>
    <w:rsid w:val="002A6C97"/>
    <w:rsid w:val="002B05BA"/>
    <w:rsid w:val="002B06FB"/>
    <w:rsid w:val="002B1170"/>
    <w:rsid w:val="002B1FA4"/>
    <w:rsid w:val="002B2BB1"/>
    <w:rsid w:val="002B2E8C"/>
    <w:rsid w:val="002B3773"/>
    <w:rsid w:val="002B3890"/>
    <w:rsid w:val="002B3FA8"/>
    <w:rsid w:val="002B3FBD"/>
    <w:rsid w:val="002B4E46"/>
    <w:rsid w:val="002B5937"/>
    <w:rsid w:val="002B5D48"/>
    <w:rsid w:val="002B631F"/>
    <w:rsid w:val="002B6568"/>
    <w:rsid w:val="002B7B1A"/>
    <w:rsid w:val="002B7BC3"/>
    <w:rsid w:val="002C0D76"/>
    <w:rsid w:val="002C10DF"/>
    <w:rsid w:val="002C22DF"/>
    <w:rsid w:val="002C2BB3"/>
    <w:rsid w:val="002C2CB3"/>
    <w:rsid w:val="002C42D3"/>
    <w:rsid w:val="002C5CF3"/>
    <w:rsid w:val="002C7F74"/>
    <w:rsid w:val="002D0698"/>
    <w:rsid w:val="002D076D"/>
    <w:rsid w:val="002D0D1B"/>
    <w:rsid w:val="002D0EAD"/>
    <w:rsid w:val="002D1D30"/>
    <w:rsid w:val="002D26C6"/>
    <w:rsid w:val="002D29B8"/>
    <w:rsid w:val="002D37FB"/>
    <w:rsid w:val="002D3A41"/>
    <w:rsid w:val="002D4281"/>
    <w:rsid w:val="002D42F4"/>
    <w:rsid w:val="002D460E"/>
    <w:rsid w:val="002D5102"/>
    <w:rsid w:val="002D679D"/>
    <w:rsid w:val="002D7445"/>
    <w:rsid w:val="002E032A"/>
    <w:rsid w:val="002E1E1D"/>
    <w:rsid w:val="002E37AA"/>
    <w:rsid w:val="002E3AA1"/>
    <w:rsid w:val="002E4336"/>
    <w:rsid w:val="002E45C6"/>
    <w:rsid w:val="002E64C5"/>
    <w:rsid w:val="002E7B0A"/>
    <w:rsid w:val="002F0D06"/>
    <w:rsid w:val="002F0FB5"/>
    <w:rsid w:val="002F10EA"/>
    <w:rsid w:val="002F2D21"/>
    <w:rsid w:val="002F3120"/>
    <w:rsid w:val="002F36AC"/>
    <w:rsid w:val="002F3DD9"/>
    <w:rsid w:val="002F49AC"/>
    <w:rsid w:val="002F4F65"/>
    <w:rsid w:val="002F5D0F"/>
    <w:rsid w:val="002F5E20"/>
    <w:rsid w:val="002F62CB"/>
    <w:rsid w:val="002F6B56"/>
    <w:rsid w:val="002F7820"/>
    <w:rsid w:val="0030011D"/>
    <w:rsid w:val="003014DC"/>
    <w:rsid w:val="00301B00"/>
    <w:rsid w:val="0030223E"/>
    <w:rsid w:val="00302864"/>
    <w:rsid w:val="00302F8E"/>
    <w:rsid w:val="0030332E"/>
    <w:rsid w:val="003054D6"/>
    <w:rsid w:val="00305815"/>
    <w:rsid w:val="00305876"/>
    <w:rsid w:val="00305899"/>
    <w:rsid w:val="00305924"/>
    <w:rsid w:val="0030592A"/>
    <w:rsid w:val="003063A2"/>
    <w:rsid w:val="00306706"/>
    <w:rsid w:val="00306D8D"/>
    <w:rsid w:val="00307B64"/>
    <w:rsid w:val="00310175"/>
    <w:rsid w:val="00310522"/>
    <w:rsid w:val="00310DE1"/>
    <w:rsid w:val="003119D2"/>
    <w:rsid w:val="00311C03"/>
    <w:rsid w:val="0031221F"/>
    <w:rsid w:val="00312773"/>
    <w:rsid w:val="00312879"/>
    <w:rsid w:val="00313ABA"/>
    <w:rsid w:val="0031488C"/>
    <w:rsid w:val="00315406"/>
    <w:rsid w:val="0031550F"/>
    <w:rsid w:val="00315CD4"/>
    <w:rsid w:val="003177B6"/>
    <w:rsid w:val="003179F6"/>
    <w:rsid w:val="00317E3D"/>
    <w:rsid w:val="00320BB0"/>
    <w:rsid w:val="00320F5F"/>
    <w:rsid w:val="003227DD"/>
    <w:rsid w:val="00322C34"/>
    <w:rsid w:val="00323378"/>
    <w:rsid w:val="00323DDB"/>
    <w:rsid w:val="00325021"/>
    <w:rsid w:val="00326728"/>
    <w:rsid w:val="00327010"/>
    <w:rsid w:val="00330829"/>
    <w:rsid w:val="00330B74"/>
    <w:rsid w:val="0033107B"/>
    <w:rsid w:val="003312A2"/>
    <w:rsid w:val="003314D8"/>
    <w:rsid w:val="003315B7"/>
    <w:rsid w:val="00331B8B"/>
    <w:rsid w:val="00334607"/>
    <w:rsid w:val="00334BEA"/>
    <w:rsid w:val="00335855"/>
    <w:rsid w:val="00335E04"/>
    <w:rsid w:val="00335FAB"/>
    <w:rsid w:val="00336871"/>
    <w:rsid w:val="00336899"/>
    <w:rsid w:val="00340546"/>
    <w:rsid w:val="0034066C"/>
    <w:rsid w:val="00340BDA"/>
    <w:rsid w:val="00340FC8"/>
    <w:rsid w:val="00341353"/>
    <w:rsid w:val="0034152B"/>
    <w:rsid w:val="00341E37"/>
    <w:rsid w:val="00341EEF"/>
    <w:rsid w:val="00341F73"/>
    <w:rsid w:val="00342AA2"/>
    <w:rsid w:val="00343039"/>
    <w:rsid w:val="00343543"/>
    <w:rsid w:val="0034400A"/>
    <w:rsid w:val="0034409D"/>
    <w:rsid w:val="00344313"/>
    <w:rsid w:val="00344940"/>
    <w:rsid w:val="00344C83"/>
    <w:rsid w:val="00344FE4"/>
    <w:rsid w:val="00346A40"/>
    <w:rsid w:val="00347515"/>
    <w:rsid w:val="003508E6"/>
    <w:rsid w:val="0035126D"/>
    <w:rsid w:val="00351BD0"/>
    <w:rsid w:val="00351F64"/>
    <w:rsid w:val="00351F88"/>
    <w:rsid w:val="00352849"/>
    <w:rsid w:val="003529F5"/>
    <w:rsid w:val="00353175"/>
    <w:rsid w:val="00353D73"/>
    <w:rsid w:val="00354A68"/>
    <w:rsid w:val="00355D20"/>
    <w:rsid w:val="00356BDA"/>
    <w:rsid w:val="00357E15"/>
    <w:rsid w:val="00357EC7"/>
    <w:rsid w:val="00361019"/>
    <w:rsid w:val="0036130F"/>
    <w:rsid w:val="0036205C"/>
    <w:rsid w:val="0036225B"/>
    <w:rsid w:val="0036239F"/>
    <w:rsid w:val="00363A1A"/>
    <w:rsid w:val="00364CEA"/>
    <w:rsid w:val="003656BC"/>
    <w:rsid w:val="00365AD1"/>
    <w:rsid w:val="00365B36"/>
    <w:rsid w:val="00365CA9"/>
    <w:rsid w:val="00365CF1"/>
    <w:rsid w:val="003663C9"/>
    <w:rsid w:val="00366A95"/>
    <w:rsid w:val="00367549"/>
    <w:rsid w:val="00367EE9"/>
    <w:rsid w:val="00371FD5"/>
    <w:rsid w:val="00373951"/>
    <w:rsid w:val="00373E63"/>
    <w:rsid w:val="00374268"/>
    <w:rsid w:val="003743DD"/>
    <w:rsid w:val="0037492B"/>
    <w:rsid w:val="00374A64"/>
    <w:rsid w:val="00375C3D"/>
    <w:rsid w:val="00375C55"/>
    <w:rsid w:val="00375DF2"/>
    <w:rsid w:val="00376234"/>
    <w:rsid w:val="003764B8"/>
    <w:rsid w:val="003767EC"/>
    <w:rsid w:val="00376E8F"/>
    <w:rsid w:val="00377EEE"/>
    <w:rsid w:val="0038074A"/>
    <w:rsid w:val="00380DEB"/>
    <w:rsid w:val="00383F11"/>
    <w:rsid w:val="00384142"/>
    <w:rsid w:val="003844E5"/>
    <w:rsid w:val="00384E8C"/>
    <w:rsid w:val="00385490"/>
    <w:rsid w:val="00385DDC"/>
    <w:rsid w:val="0038608F"/>
    <w:rsid w:val="00386ACD"/>
    <w:rsid w:val="003875C0"/>
    <w:rsid w:val="0038783C"/>
    <w:rsid w:val="00390A78"/>
    <w:rsid w:val="0039119F"/>
    <w:rsid w:val="00391645"/>
    <w:rsid w:val="003926AD"/>
    <w:rsid w:val="003927B3"/>
    <w:rsid w:val="003936E4"/>
    <w:rsid w:val="00393734"/>
    <w:rsid w:val="00394200"/>
    <w:rsid w:val="003944B6"/>
    <w:rsid w:val="00394B17"/>
    <w:rsid w:val="00395593"/>
    <w:rsid w:val="00396660"/>
    <w:rsid w:val="00396FF3"/>
    <w:rsid w:val="003A0B06"/>
    <w:rsid w:val="003A0CBB"/>
    <w:rsid w:val="003A0E50"/>
    <w:rsid w:val="003A130C"/>
    <w:rsid w:val="003A1CC3"/>
    <w:rsid w:val="003A1D4F"/>
    <w:rsid w:val="003A2050"/>
    <w:rsid w:val="003A28D4"/>
    <w:rsid w:val="003A2EB1"/>
    <w:rsid w:val="003A33D2"/>
    <w:rsid w:val="003A3BF0"/>
    <w:rsid w:val="003A3E77"/>
    <w:rsid w:val="003A4B98"/>
    <w:rsid w:val="003A4C58"/>
    <w:rsid w:val="003A5848"/>
    <w:rsid w:val="003A5CAC"/>
    <w:rsid w:val="003A6C2F"/>
    <w:rsid w:val="003A7D37"/>
    <w:rsid w:val="003A7D45"/>
    <w:rsid w:val="003A7F44"/>
    <w:rsid w:val="003B0C93"/>
    <w:rsid w:val="003B118C"/>
    <w:rsid w:val="003B1BDA"/>
    <w:rsid w:val="003B21CA"/>
    <w:rsid w:val="003B2E0E"/>
    <w:rsid w:val="003B37ED"/>
    <w:rsid w:val="003B3D3D"/>
    <w:rsid w:val="003B3E39"/>
    <w:rsid w:val="003B560F"/>
    <w:rsid w:val="003B5F1A"/>
    <w:rsid w:val="003B5F73"/>
    <w:rsid w:val="003B64A5"/>
    <w:rsid w:val="003B7927"/>
    <w:rsid w:val="003B7CD1"/>
    <w:rsid w:val="003B7F17"/>
    <w:rsid w:val="003C0041"/>
    <w:rsid w:val="003C0C87"/>
    <w:rsid w:val="003C2BBE"/>
    <w:rsid w:val="003C2D40"/>
    <w:rsid w:val="003C3E4B"/>
    <w:rsid w:val="003C411F"/>
    <w:rsid w:val="003C4A9C"/>
    <w:rsid w:val="003C716F"/>
    <w:rsid w:val="003C7E5D"/>
    <w:rsid w:val="003D130A"/>
    <w:rsid w:val="003D2AFA"/>
    <w:rsid w:val="003D2EFD"/>
    <w:rsid w:val="003D39EE"/>
    <w:rsid w:val="003D431F"/>
    <w:rsid w:val="003D44F9"/>
    <w:rsid w:val="003D5249"/>
    <w:rsid w:val="003D65E1"/>
    <w:rsid w:val="003D7EE3"/>
    <w:rsid w:val="003E0B22"/>
    <w:rsid w:val="003E193D"/>
    <w:rsid w:val="003E1D01"/>
    <w:rsid w:val="003E2B8A"/>
    <w:rsid w:val="003E2BA4"/>
    <w:rsid w:val="003E2FA9"/>
    <w:rsid w:val="003E31F6"/>
    <w:rsid w:val="003E3A2D"/>
    <w:rsid w:val="003E3E9D"/>
    <w:rsid w:val="003E41A5"/>
    <w:rsid w:val="003E4990"/>
    <w:rsid w:val="003E4CEF"/>
    <w:rsid w:val="003E54FB"/>
    <w:rsid w:val="003E597F"/>
    <w:rsid w:val="003E5C63"/>
    <w:rsid w:val="003E7314"/>
    <w:rsid w:val="003F058C"/>
    <w:rsid w:val="003F090C"/>
    <w:rsid w:val="003F09DF"/>
    <w:rsid w:val="003F18D2"/>
    <w:rsid w:val="003F1B14"/>
    <w:rsid w:val="003F1D22"/>
    <w:rsid w:val="003F2420"/>
    <w:rsid w:val="003F26A8"/>
    <w:rsid w:val="003F33CD"/>
    <w:rsid w:val="003F4430"/>
    <w:rsid w:val="003F5FD3"/>
    <w:rsid w:val="003F6AB1"/>
    <w:rsid w:val="00400465"/>
    <w:rsid w:val="00400D8A"/>
    <w:rsid w:val="00400DE5"/>
    <w:rsid w:val="004016AB"/>
    <w:rsid w:val="00401FBD"/>
    <w:rsid w:val="00402400"/>
    <w:rsid w:val="004029BB"/>
    <w:rsid w:val="00402B00"/>
    <w:rsid w:val="00404405"/>
    <w:rsid w:val="00404473"/>
    <w:rsid w:val="00404841"/>
    <w:rsid w:val="004049B7"/>
    <w:rsid w:val="004071AD"/>
    <w:rsid w:val="00407C0D"/>
    <w:rsid w:val="00407E3C"/>
    <w:rsid w:val="0041067E"/>
    <w:rsid w:val="00411433"/>
    <w:rsid w:val="00411FE9"/>
    <w:rsid w:val="00412DF0"/>
    <w:rsid w:val="00413A61"/>
    <w:rsid w:val="004155C8"/>
    <w:rsid w:val="00415D75"/>
    <w:rsid w:val="00415E30"/>
    <w:rsid w:val="00416044"/>
    <w:rsid w:val="004165E0"/>
    <w:rsid w:val="00416AB8"/>
    <w:rsid w:val="00416D9C"/>
    <w:rsid w:val="00420881"/>
    <w:rsid w:val="00420DF0"/>
    <w:rsid w:val="004214A3"/>
    <w:rsid w:val="0042207A"/>
    <w:rsid w:val="0042242B"/>
    <w:rsid w:val="0042350D"/>
    <w:rsid w:val="00423D6C"/>
    <w:rsid w:val="004241DE"/>
    <w:rsid w:val="0042437B"/>
    <w:rsid w:val="00424786"/>
    <w:rsid w:val="004248C0"/>
    <w:rsid w:val="00425020"/>
    <w:rsid w:val="004256C7"/>
    <w:rsid w:val="0042577D"/>
    <w:rsid w:val="00425E83"/>
    <w:rsid w:val="004275AA"/>
    <w:rsid w:val="00427605"/>
    <w:rsid w:val="00427E7B"/>
    <w:rsid w:val="004302C4"/>
    <w:rsid w:val="004304FE"/>
    <w:rsid w:val="00430947"/>
    <w:rsid w:val="00431646"/>
    <w:rsid w:val="004316F7"/>
    <w:rsid w:val="00431FB3"/>
    <w:rsid w:val="00433EC8"/>
    <w:rsid w:val="00433FA5"/>
    <w:rsid w:val="00433FD0"/>
    <w:rsid w:val="00435423"/>
    <w:rsid w:val="004356D6"/>
    <w:rsid w:val="00435BF3"/>
    <w:rsid w:val="00436823"/>
    <w:rsid w:val="00437118"/>
    <w:rsid w:val="0043780A"/>
    <w:rsid w:val="00437C73"/>
    <w:rsid w:val="00437CB6"/>
    <w:rsid w:val="00440FB2"/>
    <w:rsid w:val="00441504"/>
    <w:rsid w:val="0044242E"/>
    <w:rsid w:val="004424A6"/>
    <w:rsid w:val="00442C5E"/>
    <w:rsid w:val="00442DAD"/>
    <w:rsid w:val="0044421E"/>
    <w:rsid w:val="004442E4"/>
    <w:rsid w:val="004445AC"/>
    <w:rsid w:val="004448D1"/>
    <w:rsid w:val="00444C1A"/>
    <w:rsid w:val="00445428"/>
    <w:rsid w:val="004454E9"/>
    <w:rsid w:val="00445DAD"/>
    <w:rsid w:val="00446186"/>
    <w:rsid w:val="0044754D"/>
    <w:rsid w:val="00447794"/>
    <w:rsid w:val="00447A71"/>
    <w:rsid w:val="00452B84"/>
    <w:rsid w:val="00454245"/>
    <w:rsid w:val="00454751"/>
    <w:rsid w:val="00454B7A"/>
    <w:rsid w:val="0045667B"/>
    <w:rsid w:val="00457C59"/>
    <w:rsid w:val="00457CC3"/>
    <w:rsid w:val="004607FE"/>
    <w:rsid w:val="004610CF"/>
    <w:rsid w:val="00461392"/>
    <w:rsid w:val="00461535"/>
    <w:rsid w:val="00461BAB"/>
    <w:rsid w:val="00461D2B"/>
    <w:rsid w:val="00462883"/>
    <w:rsid w:val="004630F2"/>
    <w:rsid w:val="00463654"/>
    <w:rsid w:val="0046366D"/>
    <w:rsid w:val="00463F81"/>
    <w:rsid w:val="00466091"/>
    <w:rsid w:val="00466E32"/>
    <w:rsid w:val="00467B42"/>
    <w:rsid w:val="00470031"/>
    <w:rsid w:val="00471237"/>
    <w:rsid w:val="00471568"/>
    <w:rsid w:val="00471713"/>
    <w:rsid w:val="00471D85"/>
    <w:rsid w:val="00471DD4"/>
    <w:rsid w:val="00471E68"/>
    <w:rsid w:val="00472DD3"/>
    <w:rsid w:val="004730B8"/>
    <w:rsid w:val="004747E2"/>
    <w:rsid w:val="00474A64"/>
    <w:rsid w:val="00474F4F"/>
    <w:rsid w:val="0047533F"/>
    <w:rsid w:val="0047635E"/>
    <w:rsid w:val="00476698"/>
    <w:rsid w:val="004774EA"/>
    <w:rsid w:val="004774F9"/>
    <w:rsid w:val="00477DBE"/>
    <w:rsid w:val="004805A4"/>
    <w:rsid w:val="00480E79"/>
    <w:rsid w:val="00481899"/>
    <w:rsid w:val="00481B30"/>
    <w:rsid w:val="00481E14"/>
    <w:rsid w:val="004820DE"/>
    <w:rsid w:val="00482410"/>
    <w:rsid w:val="00482D2B"/>
    <w:rsid w:val="00482EC9"/>
    <w:rsid w:val="00483877"/>
    <w:rsid w:val="00484DF1"/>
    <w:rsid w:val="00485096"/>
    <w:rsid w:val="00485174"/>
    <w:rsid w:val="0048562B"/>
    <w:rsid w:val="004856A5"/>
    <w:rsid w:val="0048594C"/>
    <w:rsid w:val="0048599C"/>
    <w:rsid w:val="00485F9F"/>
    <w:rsid w:val="00486A77"/>
    <w:rsid w:val="00486FFA"/>
    <w:rsid w:val="00487034"/>
    <w:rsid w:val="00487357"/>
    <w:rsid w:val="00487D9F"/>
    <w:rsid w:val="00487DB9"/>
    <w:rsid w:val="00487FA1"/>
    <w:rsid w:val="004901C2"/>
    <w:rsid w:val="00490B5F"/>
    <w:rsid w:val="004915CC"/>
    <w:rsid w:val="004922F3"/>
    <w:rsid w:val="0049345B"/>
    <w:rsid w:val="0049356B"/>
    <w:rsid w:val="004945BD"/>
    <w:rsid w:val="00494F55"/>
    <w:rsid w:val="00495854"/>
    <w:rsid w:val="00495889"/>
    <w:rsid w:val="00496165"/>
    <w:rsid w:val="004964EE"/>
    <w:rsid w:val="004966FB"/>
    <w:rsid w:val="00497805"/>
    <w:rsid w:val="004A2E76"/>
    <w:rsid w:val="004A318E"/>
    <w:rsid w:val="004A3312"/>
    <w:rsid w:val="004A3E05"/>
    <w:rsid w:val="004A45DA"/>
    <w:rsid w:val="004A5F2C"/>
    <w:rsid w:val="004A64F2"/>
    <w:rsid w:val="004A7974"/>
    <w:rsid w:val="004B0787"/>
    <w:rsid w:val="004B16C0"/>
    <w:rsid w:val="004B1DAD"/>
    <w:rsid w:val="004B24DF"/>
    <w:rsid w:val="004B275E"/>
    <w:rsid w:val="004B3384"/>
    <w:rsid w:val="004B39ED"/>
    <w:rsid w:val="004B44A2"/>
    <w:rsid w:val="004B4541"/>
    <w:rsid w:val="004B4B54"/>
    <w:rsid w:val="004B61FA"/>
    <w:rsid w:val="004B62C3"/>
    <w:rsid w:val="004B6C5F"/>
    <w:rsid w:val="004B6C92"/>
    <w:rsid w:val="004C0235"/>
    <w:rsid w:val="004C1588"/>
    <w:rsid w:val="004C1673"/>
    <w:rsid w:val="004C17AF"/>
    <w:rsid w:val="004C2004"/>
    <w:rsid w:val="004C22C6"/>
    <w:rsid w:val="004C29EC"/>
    <w:rsid w:val="004C3BEB"/>
    <w:rsid w:val="004C47D9"/>
    <w:rsid w:val="004C48DC"/>
    <w:rsid w:val="004C4982"/>
    <w:rsid w:val="004C5AD3"/>
    <w:rsid w:val="004C5ADB"/>
    <w:rsid w:val="004C6B99"/>
    <w:rsid w:val="004C6E5C"/>
    <w:rsid w:val="004D0A66"/>
    <w:rsid w:val="004D0FAB"/>
    <w:rsid w:val="004D1933"/>
    <w:rsid w:val="004D1A1C"/>
    <w:rsid w:val="004D1C81"/>
    <w:rsid w:val="004D22FB"/>
    <w:rsid w:val="004D2B31"/>
    <w:rsid w:val="004D33D1"/>
    <w:rsid w:val="004D372F"/>
    <w:rsid w:val="004D4286"/>
    <w:rsid w:val="004D5113"/>
    <w:rsid w:val="004D5159"/>
    <w:rsid w:val="004D51EA"/>
    <w:rsid w:val="004D5670"/>
    <w:rsid w:val="004D6D6F"/>
    <w:rsid w:val="004D771E"/>
    <w:rsid w:val="004D78A9"/>
    <w:rsid w:val="004E10E4"/>
    <w:rsid w:val="004E26C0"/>
    <w:rsid w:val="004E3003"/>
    <w:rsid w:val="004E3047"/>
    <w:rsid w:val="004E538D"/>
    <w:rsid w:val="004E58B0"/>
    <w:rsid w:val="004E6961"/>
    <w:rsid w:val="004F0181"/>
    <w:rsid w:val="004F0201"/>
    <w:rsid w:val="004F09ED"/>
    <w:rsid w:val="004F0F3E"/>
    <w:rsid w:val="004F13DD"/>
    <w:rsid w:val="004F15F6"/>
    <w:rsid w:val="004F1872"/>
    <w:rsid w:val="004F1BB5"/>
    <w:rsid w:val="004F1C99"/>
    <w:rsid w:val="004F2117"/>
    <w:rsid w:val="004F25F6"/>
    <w:rsid w:val="004F2BE3"/>
    <w:rsid w:val="004F38FC"/>
    <w:rsid w:val="004F3C08"/>
    <w:rsid w:val="004F4AB5"/>
    <w:rsid w:val="004F4C34"/>
    <w:rsid w:val="004F510D"/>
    <w:rsid w:val="004F54A2"/>
    <w:rsid w:val="004F560A"/>
    <w:rsid w:val="004F5CF3"/>
    <w:rsid w:val="004F62F9"/>
    <w:rsid w:val="004F6889"/>
    <w:rsid w:val="004F6A04"/>
    <w:rsid w:val="004F6EB4"/>
    <w:rsid w:val="0050010C"/>
    <w:rsid w:val="00500DD3"/>
    <w:rsid w:val="00501B23"/>
    <w:rsid w:val="00501BD9"/>
    <w:rsid w:val="00501CA8"/>
    <w:rsid w:val="00502FA8"/>
    <w:rsid w:val="005043D4"/>
    <w:rsid w:val="0050550D"/>
    <w:rsid w:val="00505DE3"/>
    <w:rsid w:val="00506051"/>
    <w:rsid w:val="0050616E"/>
    <w:rsid w:val="00507640"/>
    <w:rsid w:val="0050798F"/>
    <w:rsid w:val="00510461"/>
    <w:rsid w:val="00510D58"/>
    <w:rsid w:val="00513302"/>
    <w:rsid w:val="005137FC"/>
    <w:rsid w:val="005139FA"/>
    <w:rsid w:val="00513CE5"/>
    <w:rsid w:val="00513F8E"/>
    <w:rsid w:val="0051582D"/>
    <w:rsid w:val="00515836"/>
    <w:rsid w:val="005169E9"/>
    <w:rsid w:val="00516E5E"/>
    <w:rsid w:val="0051702C"/>
    <w:rsid w:val="00517135"/>
    <w:rsid w:val="00517A85"/>
    <w:rsid w:val="00517CF5"/>
    <w:rsid w:val="00520E00"/>
    <w:rsid w:val="00520F62"/>
    <w:rsid w:val="00522161"/>
    <w:rsid w:val="005237FD"/>
    <w:rsid w:val="00523FEB"/>
    <w:rsid w:val="0052552A"/>
    <w:rsid w:val="00525FE4"/>
    <w:rsid w:val="00526924"/>
    <w:rsid w:val="0052763F"/>
    <w:rsid w:val="00527748"/>
    <w:rsid w:val="00530590"/>
    <w:rsid w:val="00530E22"/>
    <w:rsid w:val="00531386"/>
    <w:rsid w:val="00531659"/>
    <w:rsid w:val="0053228F"/>
    <w:rsid w:val="00532FEB"/>
    <w:rsid w:val="005330FD"/>
    <w:rsid w:val="005331FB"/>
    <w:rsid w:val="00533ADB"/>
    <w:rsid w:val="0053422D"/>
    <w:rsid w:val="00534995"/>
    <w:rsid w:val="00537053"/>
    <w:rsid w:val="00537378"/>
    <w:rsid w:val="0054083E"/>
    <w:rsid w:val="00540EA4"/>
    <w:rsid w:val="005416B4"/>
    <w:rsid w:val="00541A69"/>
    <w:rsid w:val="00543646"/>
    <w:rsid w:val="00543748"/>
    <w:rsid w:val="00543EE3"/>
    <w:rsid w:val="005444B9"/>
    <w:rsid w:val="005452AE"/>
    <w:rsid w:val="00545828"/>
    <w:rsid w:val="0054632F"/>
    <w:rsid w:val="0054650F"/>
    <w:rsid w:val="005472C7"/>
    <w:rsid w:val="00547DB8"/>
    <w:rsid w:val="00550232"/>
    <w:rsid w:val="00550662"/>
    <w:rsid w:val="005512E3"/>
    <w:rsid w:val="00551677"/>
    <w:rsid w:val="00552156"/>
    <w:rsid w:val="00552598"/>
    <w:rsid w:val="005528BC"/>
    <w:rsid w:val="00553881"/>
    <w:rsid w:val="00553C18"/>
    <w:rsid w:val="005549CC"/>
    <w:rsid w:val="00555065"/>
    <w:rsid w:val="00555663"/>
    <w:rsid w:val="00555BF2"/>
    <w:rsid w:val="00555E4D"/>
    <w:rsid w:val="005560A4"/>
    <w:rsid w:val="0055724C"/>
    <w:rsid w:val="00557EA9"/>
    <w:rsid w:val="00560321"/>
    <w:rsid w:val="005604EC"/>
    <w:rsid w:val="00560CA5"/>
    <w:rsid w:val="0056113D"/>
    <w:rsid w:val="0056153F"/>
    <w:rsid w:val="00561906"/>
    <w:rsid w:val="00561E0F"/>
    <w:rsid w:val="00561F61"/>
    <w:rsid w:val="00562453"/>
    <w:rsid w:val="00562B52"/>
    <w:rsid w:val="005633C7"/>
    <w:rsid w:val="0056392D"/>
    <w:rsid w:val="00564898"/>
    <w:rsid w:val="00564C7E"/>
    <w:rsid w:val="0056571A"/>
    <w:rsid w:val="0056749C"/>
    <w:rsid w:val="00567C95"/>
    <w:rsid w:val="00567F1C"/>
    <w:rsid w:val="00571C28"/>
    <w:rsid w:val="005722DA"/>
    <w:rsid w:val="0057259F"/>
    <w:rsid w:val="005727D4"/>
    <w:rsid w:val="00574984"/>
    <w:rsid w:val="00575C6D"/>
    <w:rsid w:val="005767E7"/>
    <w:rsid w:val="00577D88"/>
    <w:rsid w:val="00580006"/>
    <w:rsid w:val="00580468"/>
    <w:rsid w:val="005824AB"/>
    <w:rsid w:val="00582CA1"/>
    <w:rsid w:val="005834B9"/>
    <w:rsid w:val="00583C28"/>
    <w:rsid w:val="00583FF9"/>
    <w:rsid w:val="00584989"/>
    <w:rsid w:val="00584B5B"/>
    <w:rsid w:val="00585073"/>
    <w:rsid w:val="00585C7B"/>
    <w:rsid w:val="005861F1"/>
    <w:rsid w:val="0058622D"/>
    <w:rsid w:val="00586766"/>
    <w:rsid w:val="00586A8B"/>
    <w:rsid w:val="00586C8F"/>
    <w:rsid w:val="00587748"/>
    <w:rsid w:val="00587AA5"/>
    <w:rsid w:val="0059030C"/>
    <w:rsid w:val="00590676"/>
    <w:rsid w:val="00591BAA"/>
    <w:rsid w:val="0059231A"/>
    <w:rsid w:val="00593328"/>
    <w:rsid w:val="00593CDF"/>
    <w:rsid w:val="00593F09"/>
    <w:rsid w:val="0059423B"/>
    <w:rsid w:val="00594ACA"/>
    <w:rsid w:val="00594B4F"/>
    <w:rsid w:val="005950B2"/>
    <w:rsid w:val="005955CD"/>
    <w:rsid w:val="00596071"/>
    <w:rsid w:val="00596BFA"/>
    <w:rsid w:val="00597063"/>
    <w:rsid w:val="0059725B"/>
    <w:rsid w:val="00597F20"/>
    <w:rsid w:val="005A079B"/>
    <w:rsid w:val="005A0A6C"/>
    <w:rsid w:val="005A1C60"/>
    <w:rsid w:val="005A1D18"/>
    <w:rsid w:val="005A265B"/>
    <w:rsid w:val="005A2C3B"/>
    <w:rsid w:val="005A32BF"/>
    <w:rsid w:val="005A3994"/>
    <w:rsid w:val="005A54F4"/>
    <w:rsid w:val="005A5BA4"/>
    <w:rsid w:val="005A6065"/>
    <w:rsid w:val="005A60BC"/>
    <w:rsid w:val="005A6C05"/>
    <w:rsid w:val="005A7F55"/>
    <w:rsid w:val="005B0540"/>
    <w:rsid w:val="005B0D84"/>
    <w:rsid w:val="005B132C"/>
    <w:rsid w:val="005B3500"/>
    <w:rsid w:val="005B3B73"/>
    <w:rsid w:val="005B4654"/>
    <w:rsid w:val="005B4774"/>
    <w:rsid w:val="005B597B"/>
    <w:rsid w:val="005B6E4D"/>
    <w:rsid w:val="005C00FC"/>
    <w:rsid w:val="005C161F"/>
    <w:rsid w:val="005C2526"/>
    <w:rsid w:val="005C2CEA"/>
    <w:rsid w:val="005C36E1"/>
    <w:rsid w:val="005C389D"/>
    <w:rsid w:val="005C3CAD"/>
    <w:rsid w:val="005C41A3"/>
    <w:rsid w:val="005C441B"/>
    <w:rsid w:val="005C48FA"/>
    <w:rsid w:val="005C48FB"/>
    <w:rsid w:val="005C5252"/>
    <w:rsid w:val="005C526D"/>
    <w:rsid w:val="005C5C18"/>
    <w:rsid w:val="005C60C3"/>
    <w:rsid w:val="005C66CE"/>
    <w:rsid w:val="005C6830"/>
    <w:rsid w:val="005C69CF"/>
    <w:rsid w:val="005C74C7"/>
    <w:rsid w:val="005D0C2A"/>
    <w:rsid w:val="005D0DF9"/>
    <w:rsid w:val="005D1010"/>
    <w:rsid w:val="005D17AF"/>
    <w:rsid w:val="005D17C6"/>
    <w:rsid w:val="005D1D02"/>
    <w:rsid w:val="005D1FEF"/>
    <w:rsid w:val="005D31FE"/>
    <w:rsid w:val="005D324C"/>
    <w:rsid w:val="005D40BC"/>
    <w:rsid w:val="005D46FD"/>
    <w:rsid w:val="005D50A8"/>
    <w:rsid w:val="005D5204"/>
    <w:rsid w:val="005D5889"/>
    <w:rsid w:val="005D591C"/>
    <w:rsid w:val="005D6219"/>
    <w:rsid w:val="005D6635"/>
    <w:rsid w:val="005D6BEE"/>
    <w:rsid w:val="005D6CB4"/>
    <w:rsid w:val="005D6EE4"/>
    <w:rsid w:val="005D73FB"/>
    <w:rsid w:val="005D741E"/>
    <w:rsid w:val="005E096A"/>
    <w:rsid w:val="005E0D45"/>
    <w:rsid w:val="005E0FA1"/>
    <w:rsid w:val="005E2A7C"/>
    <w:rsid w:val="005E2F31"/>
    <w:rsid w:val="005E3DEA"/>
    <w:rsid w:val="005E4174"/>
    <w:rsid w:val="005E5875"/>
    <w:rsid w:val="005E72D4"/>
    <w:rsid w:val="005E7F33"/>
    <w:rsid w:val="005F19BB"/>
    <w:rsid w:val="005F28FD"/>
    <w:rsid w:val="005F2AEA"/>
    <w:rsid w:val="005F2E5D"/>
    <w:rsid w:val="005F333F"/>
    <w:rsid w:val="005F35C8"/>
    <w:rsid w:val="005F3795"/>
    <w:rsid w:val="005F3BD9"/>
    <w:rsid w:val="005F3C8A"/>
    <w:rsid w:val="005F4578"/>
    <w:rsid w:val="005F4B6E"/>
    <w:rsid w:val="005F50B6"/>
    <w:rsid w:val="005F52F4"/>
    <w:rsid w:val="005F556A"/>
    <w:rsid w:val="005F5C58"/>
    <w:rsid w:val="005F66CB"/>
    <w:rsid w:val="005F7F5A"/>
    <w:rsid w:val="006000A1"/>
    <w:rsid w:val="00600FE5"/>
    <w:rsid w:val="0060170D"/>
    <w:rsid w:val="006017F9"/>
    <w:rsid w:val="00602A3D"/>
    <w:rsid w:val="00603086"/>
    <w:rsid w:val="006040E6"/>
    <w:rsid w:val="00604372"/>
    <w:rsid w:val="00604756"/>
    <w:rsid w:val="00605029"/>
    <w:rsid w:val="00605B8A"/>
    <w:rsid w:val="00606612"/>
    <w:rsid w:val="00606FF7"/>
    <w:rsid w:val="00607728"/>
    <w:rsid w:val="0061007C"/>
    <w:rsid w:val="00610519"/>
    <w:rsid w:val="006110B3"/>
    <w:rsid w:val="006119CB"/>
    <w:rsid w:val="00611C0D"/>
    <w:rsid w:val="006134EC"/>
    <w:rsid w:val="0061384F"/>
    <w:rsid w:val="00613A94"/>
    <w:rsid w:val="00614E6D"/>
    <w:rsid w:val="006151CF"/>
    <w:rsid w:val="00615337"/>
    <w:rsid w:val="00615430"/>
    <w:rsid w:val="00615527"/>
    <w:rsid w:val="0061586C"/>
    <w:rsid w:val="006166E3"/>
    <w:rsid w:val="00617740"/>
    <w:rsid w:val="00617A5B"/>
    <w:rsid w:val="00617F94"/>
    <w:rsid w:val="006211C9"/>
    <w:rsid w:val="006217FD"/>
    <w:rsid w:val="00621F58"/>
    <w:rsid w:val="00622948"/>
    <w:rsid w:val="00623895"/>
    <w:rsid w:val="00623DCC"/>
    <w:rsid w:val="0062533E"/>
    <w:rsid w:val="00626525"/>
    <w:rsid w:val="0062687C"/>
    <w:rsid w:val="00626F97"/>
    <w:rsid w:val="00630178"/>
    <w:rsid w:val="00630EF4"/>
    <w:rsid w:val="006310B1"/>
    <w:rsid w:val="006314CA"/>
    <w:rsid w:val="0063281E"/>
    <w:rsid w:val="00632C88"/>
    <w:rsid w:val="00632FA5"/>
    <w:rsid w:val="00633815"/>
    <w:rsid w:val="0063382F"/>
    <w:rsid w:val="00633AA6"/>
    <w:rsid w:val="006346F2"/>
    <w:rsid w:val="006348E1"/>
    <w:rsid w:val="00634D6B"/>
    <w:rsid w:val="00635AF5"/>
    <w:rsid w:val="006367B5"/>
    <w:rsid w:val="00637E12"/>
    <w:rsid w:val="00637ECF"/>
    <w:rsid w:val="006402A8"/>
    <w:rsid w:val="00641386"/>
    <w:rsid w:val="0064201B"/>
    <w:rsid w:val="0064491A"/>
    <w:rsid w:val="006501DA"/>
    <w:rsid w:val="006509FC"/>
    <w:rsid w:val="00651A0A"/>
    <w:rsid w:val="006556AC"/>
    <w:rsid w:val="00655CD6"/>
    <w:rsid w:val="00656534"/>
    <w:rsid w:val="00656A35"/>
    <w:rsid w:val="00661B59"/>
    <w:rsid w:val="00662831"/>
    <w:rsid w:val="0066357F"/>
    <w:rsid w:val="00663C02"/>
    <w:rsid w:val="00663C33"/>
    <w:rsid w:val="006658A7"/>
    <w:rsid w:val="00665E2C"/>
    <w:rsid w:val="006666F9"/>
    <w:rsid w:val="006667FE"/>
    <w:rsid w:val="00666BE2"/>
    <w:rsid w:val="006674A7"/>
    <w:rsid w:val="0066780A"/>
    <w:rsid w:val="00670116"/>
    <w:rsid w:val="006704D6"/>
    <w:rsid w:val="0067227C"/>
    <w:rsid w:val="006723C9"/>
    <w:rsid w:val="0067269E"/>
    <w:rsid w:val="00672E25"/>
    <w:rsid w:val="006730C0"/>
    <w:rsid w:val="00674223"/>
    <w:rsid w:val="0067505F"/>
    <w:rsid w:val="00677122"/>
    <w:rsid w:val="00677435"/>
    <w:rsid w:val="00677820"/>
    <w:rsid w:val="00680282"/>
    <w:rsid w:val="006818E7"/>
    <w:rsid w:val="00682391"/>
    <w:rsid w:val="006826E8"/>
    <w:rsid w:val="006827ED"/>
    <w:rsid w:val="00682888"/>
    <w:rsid w:val="00682D48"/>
    <w:rsid w:val="006839FC"/>
    <w:rsid w:val="00684FC2"/>
    <w:rsid w:val="006856E0"/>
    <w:rsid w:val="00686490"/>
    <w:rsid w:val="00686F72"/>
    <w:rsid w:val="006909E4"/>
    <w:rsid w:val="00691861"/>
    <w:rsid w:val="00691D57"/>
    <w:rsid w:val="00692023"/>
    <w:rsid w:val="006924CE"/>
    <w:rsid w:val="00692787"/>
    <w:rsid w:val="00692B43"/>
    <w:rsid w:val="00692C1B"/>
    <w:rsid w:val="006931CE"/>
    <w:rsid w:val="00693AF7"/>
    <w:rsid w:val="00693BD3"/>
    <w:rsid w:val="00693D3B"/>
    <w:rsid w:val="006954CB"/>
    <w:rsid w:val="006957C9"/>
    <w:rsid w:val="006966BC"/>
    <w:rsid w:val="006969C3"/>
    <w:rsid w:val="00696C6E"/>
    <w:rsid w:val="0069722E"/>
    <w:rsid w:val="0069727C"/>
    <w:rsid w:val="006972D0"/>
    <w:rsid w:val="006A002E"/>
    <w:rsid w:val="006A098F"/>
    <w:rsid w:val="006A1E8B"/>
    <w:rsid w:val="006A1F49"/>
    <w:rsid w:val="006A1FD9"/>
    <w:rsid w:val="006A2EF0"/>
    <w:rsid w:val="006A3609"/>
    <w:rsid w:val="006A4502"/>
    <w:rsid w:val="006A461D"/>
    <w:rsid w:val="006A4C5B"/>
    <w:rsid w:val="006A4CE1"/>
    <w:rsid w:val="006A526C"/>
    <w:rsid w:val="006A5960"/>
    <w:rsid w:val="006A6056"/>
    <w:rsid w:val="006A722F"/>
    <w:rsid w:val="006A7F46"/>
    <w:rsid w:val="006B0F00"/>
    <w:rsid w:val="006B1C6A"/>
    <w:rsid w:val="006B1D2E"/>
    <w:rsid w:val="006B1D3D"/>
    <w:rsid w:val="006B20DE"/>
    <w:rsid w:val="006B245F"/>
    <w:rsid w:val="006B2E64"/>
    <w:rsid w:val="006B3049"/>
    <w:rsid w:val="006B39F9"/>
    <w:rsid w:val="006B3D5B"/>
    <w:rsid w:val="006B45DD"/>
    <w:rsid w:val="006B69A0"/>
    <w:rsid w:val="006B6AC4"/>
    <w:rsid w:val="006B7A59"/>
    <w:rsid w:val="006B7AE0"/>
    <w:rsid w:val="006C086E"/>
    <w:rsid w:val="006C09F7"/>
    <w:rsid w:val="006C0AF7"/>
    <w:rsid w:val="006C1815"/>
    <w:rsid w:val="006C1B6A"/>
    <w:rsid w:val="006C20BF"/>
    <w:rsid w:val="006C3125"/>
    <w:rsid w:val="006C403C"/>
    <w:rsid w:val="006C46DA"/>
    <w:rsid w:val="006C4B8D"/>
    <w:rsid w:val="006C4BE6"/>
    <w:rsid w:val="006C4DBB"/>
    <w:rsid w:val="006C5CED"/>
    <w:rsid w:val="006C6647"/>
    <w:rsid w:val="006C680F"/>
    <w:rsid w:val="006C7BD7"/>
    <w:rsid w:val="006C7E4C"/>
    <w:rsid w:val="006D05DA"/>
    <w:rsid w:val="006D0C34"/>
    <w:rsid w:val="006D1872"/>
    <w:rsid w:val="006D1958"/>
    <w:rsid w:val="006D1AFD"/>
    <w:rsid w:val="006D48B0"/>
    <w:rsid w:val="006D4C24"/>
    <w:rsid w:val="006D7195"/>
    <w:rsid w:val="006E0044"/>
    <w:rsid w:val="006E078D"/>
    <w:rsid w:val="006E2C8C"/>
    <w:rsid w:val="006E41CB"/>
    <w:rsid w:val="006E4A78"/>
    <w:rsid w:val="006E4FDE"/>
    <w:rsid w:val="006E57CA"/>
    <w:rsid w:val="006E6759"/>
    <w:rsid w:val="006E7431"/>
    <w:rsid w:val="006E7553"/>
    <w:rsid w:val="006E7725"/>
    <w:rsid w:val="006E78F4"/>
    <w:rsid w:val="006E7DEF"/>
    <w:rsid w:val="006F0D3C"/>
    <w:rsid w:val="006F1D70"/>
    <w:rsid w:val="006F203C"/>
    <w:rsid w:val="006F22F4"/>
    <w:rsid w:val="006F2A21"/>
    <w:rsid w:val="006F2BBB"/>
    <w:rsid w:val="006F2EC4"/>
    <w:rsid w:val="006F3430"/>
    <w:rsid w:val="006F3E17"/>
    <w:rsid w:val="006F3EB0"/>
    <w:rsid w:val="006F4874"/>
    <w:rsid w:val="006F4BBF"/>
    <w:rsid w:val="006F4F65"/>
    <w:rsid w:val="006F5351"/>
    <w:rsid w:val="006F7FAD"/>
    <w:rsid w:val="00701097"/>
    <w:rsid w:val="00701A05"/>
    <w:rsid w:val="00701B40"/>
    <w:rsid w:val="00701E95"/>
    <w:rsid w:val="00703342"/>
    <w:rsid w:val="00703913"/>
    <w:rsid w:val="007040EA"/>
    <w:rsid w:val="00704190"/>
    <w:rsid w:val="007048ED"/>
    <w:rsid w:val="00704A07"/>
    <w:rsid w:val="007052CF"/>
    <w:rsid w:val="00705590"/>
    <w:rsid w:val="00705FED"/>
    <w:rsid w:val="00706494"/>
    <w:rsid w:val="0070699D"/>
    <w:rsid w:val="0071002E"/>
    <w:rsid w:val="0071145A"/>
    <w:rsid w:val="00711D53"/>
    <w:rsid w:val="0071207A"/>
    <w:rsid w:val="007123CD"/>
    <w:rsid w:val="0071240A"/>
    <w:rsid w:val="00712450"/>
    <w:rsid w:val="0071423C"/>
    <w:rsid w:val="007149B8"/>
    <w:rsid w:val="00714C85"/>
    <w:rsid w:val="007170D5"/>
    <w:rsid w:val="0071759E"/>
    <w:rsid w:val="00717AD3"/>
    <w:rsid w:val="007209FA"/>
    <w:rsid w:val="00721B1B"/>
    <w:rsid w:val="00722488"/>
    <w:rsid w:val="0072404A"/>
    <w:rsid w:val="00724758"/>
    <w:rsid w:val="007247C2"/>
    <w:rsid w:val="00724A47"/>
    <w:rsid w:val="00724A6B"/>
    <w:rsid w:val="007250A4"/>
    <w:rsid w:val="0072522B"/>
    <w:rsid w:val="00725D56"/>
    <w:rsid w:val="00725DE2"/>
    <w:rsid w:val="007265DA"/>
    <w:rsid w:val="00726ED3"/>
    <w:rsid w:val="00727AA2"/>
    <w:rsid w:val="00727CD2"/>
    <w:rsid w:val="007302C4"/>
    <w:rsid w:val="00730BBE"/>
    <w:rsid w:val="00730DB8"/>
    <w:rsid w:val="00731841"/>
    <w:rsid w:val="00732BAD"/>
    <w:rsid w:val="00732F93"/>
    <w:rsid w:val="007331B9"/>
    <w:rsid w:val="0073354A"/>
    <w:rsid w:val="00733E66"/>
    <w:rsid w:val="007340C3"/>
    <w:rsid w:val="007345C0"/>
    <w:rsid w:val="00735B51"/>
    <w:rsid w:val="00736DB1"/>
    <w:rsid w:val="00736E20"/>
    <w:rsid w:val="00737829"/>
    <w:rsid w:val="0073783D"/>
    <w:rsid w:val="00737C6F"/>
    <w:rsid w:val="00740266"/>
    <w:rsid w:val="00741371"/>
    <w:rsid w:val="00741410"/>
    <w:rsid w:val="00741CFD"/>
    <w:rsid w:val="00742908"/>
    <w:rsid w:val="007437BD"/>
    <w:rsid w:val="007439FD"/>
    <w:rsid w:val="007444E2"/>
    <w:rsid w:val="007444EC"/>
    <w:rsid w:val="00744E01"/>
    <w:rsid w:val="00744F0D"/>
    <w:rsid w:val="0074551B"/>
    <w:rsid w:val="00745F39"/>
    <w:rsid w:val="00747002"/>
    <w:rsid w:val="00751BE9"/>
    <w:rsid w:val="007532FA"/>
    <w:rsid w:val="007538F0"/>
    <w:rsid w:val="00753CE9"/>
    <w:rsid w:val="0075506D"/>
    <w:rsid w:val="00755A83"/>
    <w:rsid w:val="007563CE"/>
    <w:rsid w:val="007568E7"/>
    <w:rsid w:val="00756D6E"/>
    <w:rsid w:val="00756DCA"/>
    <w:rsid w:val="00756DFB"/>
    <w:rsid w:val="00757564"/>
    <w:rsid w:val="00760A61"/>
    <w:rsid w:val="00761F81"/>
    <w:rsid w:val="00761FD7"/>
    <w:rsid w:val="007625D8"/>
    <w:rsid w:val="0076346E"/>
    <w:rsid w:val="00763700"/>
    <w:rsid w:val="00763AD6"/>
    <w:rsid w:val="00763CDB"/>
    <w:rsid w:val="00764E35"/>
    <w:rsid w:val="00765C58"/>
    <w:rsid w:val="007661DC"/>
    <w:rsid w:val="00767110"/>
    <w:rsid w:val="007675A6"/>
    <w:rsid w:val="00767974"/>
    <w:rsid w:val="00770703"/>
    <w:rsid w:val="00770F9A"/>
    <w:rsid w:val="00771744"/>
    <w:rsid w:val="00772268"/>
    <w:rsid w:val="007731CD"/>
    <w:rsid w:val="007736C3"/>
    <w:rsid w:val="00774B58"/>
    <w:rsid w:val="00774D84"/>
    <w:rsid w:val="00774FAC"/>
    <w:rsid w:val="007759EA"/>
    <w:rsid w:val="00776801"/>
    <w:rsid w:val="00776F14"/>
    <w:rsid w:val="00776FBE"/>
    <w:rsid w:val="00781D29"/>
    <w:rsid w:val="00781F66"/>
    <w:rsid w:val="0078243B"/>
    <w:rsid w:val="00782A50"/>
    <w:rsid w:val="007833B1"/>
    <w:rsid w:val="00784074"/>
    <w:rsid w:val="0078445D"/>
    <w:rsid w:val="00784670"/>
    <w:rsid w:val="0078485E"/>
    <w:rsid w:val="00784F9E"/>
    <w:rsid w:val="007858E6"/>
    <w:rsid w:val="00785993"/>
    <w:rsid w:val="007860F8"/>
    <w:rsid w:val="00786FA3"/>
    <w:rsid w:val="00787735"/>
    <w:rsid w:val="00787EC1"/>
    <w:rsid w:val="00787F5E"/>
    <w:rsid w:val="00790EC4"/>
    <w:rsid w:val="007915C0"/>
    <w:rsid w:val="007919E4"/>
    <w:rsid w:val="007926C3"/>
    <w:rsid w:val="00792BEF"/>
    <w:rsid w:val="007960DF"/>
    <w:rsid w:val="00796692"/>
    <w:rsid w:val="007A04F3"/>
    <w:rsid w:val="007A2B5B"/>
    <w:rsid w:val="007A3179"/>
    <w:rsid w:val="007A3C64"/>
    <w:rsid w:val="007A4436"/>
    <w:rsid w:val="007A56F8"/>
    <w:rsid w:val="007A6E2F"/>
    <w:rsid w:val="007A7544"/>
    <w:rsid w:val="007A7D4B"/>
    <w:rsid w:val="007B0242"/>
    <w:rsid w:val="007B1786"/>
    <w:rsid w:val="007B1941"/>
    <w:rsid w:val="007B2B21"/>
    <w:rsid w:val="007B3323"/>
    <w:rsid w:val="007B34D6"/>
    <w:rsid w:val="007B40D9"/>
    <w:rsid w:val="007B602F"/>
    <w:rsid w:val="007B6137"/>
    <w:rsid w:val="007B7666"/>
    <w:rsid w:val="007B7CC6"/>
    <w:rsid w:val="007C0553"/>
    <w:rsid w:val="007C26AB"/>
    <w:rsid w:val="007C2BB3"/>
    <w:rsid w:val="007C3A38"/>
    <w:rsid w:val="007C58E1"/>
    <w:rsid w:val="007C5963"/>
    <w:rsid w:val="007C5ACC"/>
    <w:rsid w:val="007C5ADD"/>
    <w:rsid w:val="007C5BB0"/>
    <w:rsid w:val="007C5C5A"/>
    <w:rsid w:val="007C6528"/>
    <w:rsid w:val="007C680F"/>
    <w:rsid w:val="007C6D60"/>
    <w:rsid w:val="007C728C"/>
    <w:rsid w:val="007C7A8A"/>
    <w:rsid w:val="007D02D4"/>
    <w:rsid w:val="007D20F7"/>
    <w:rsid w:val="007D22BF"/>
    <w:rsid w:val="007D2AE4"/>
    <w:rsid w:val="007D2D2E"/>
    <w:rsid w:val="007D4259"/>
    <w:rsid w:val="007D439E"/>
    <w:rsid w:val="007D4594"/>
    <w:rsid w:val="007D4FDE"/>
    <w:rsid w:val="007D509E"/>
    <w:rsid w:val="007D597E"/>
    <w:rsid w:val="007D5B2D"/>
    <w:rsid w:val="007D5FE5"/>
    <w:rsid w:val="007D60D3"/>
    <w:rsid w:val="007D698B"/>
    <w:rsid w:val="007D6B1B"/>
    <w:rsid w:val="007E0D40"/>
    <w:rsid w:val="007E2B35"/>
    <w:rsid w:val="007E50FB"/>
    <w:rsid w:val="007E512A"/>
    <w:rsid w:val="007E54A6"/>
    <w:rsid w:val="007E56AE"/>
    <w:rsid w:val="007E5FB3"/>
    <w:rsid w:val="007E6B77"/>
    <w:rsid w:val="007E733C"/>
    <w:rsid w:val="007E7631"/>
    <w:rsid w:val="007E7B82"/>
    <w:rsid w:val="007E7C0C"/>
    <w:rsid w:val="007F0309"/>
    <w:rsid w:val="007F1CC9"/>
    <w:rsid w:val="007F24FB"/>
    <w:rsid w:val="007F3981"/>
    <w:rsid w:val="007F5C36"/>
    <w:rsid w:val="007F7C5F"/>
    <w:rsid w:val="007F7DA2"/>
    <w:rsid w:val="008019B8"/>
    <w:rsid w:val="00801FD1"/>
    <w:rsid w:val="00802F38"/>
    <w:rsid w:val="008031A2"/>
    <w:rsid w:val="008037B2"/>
    <w:rsid w:val="00803E1C"/>
    <w:rsid w:val="00804622"/>
    <w:rsid w:val="0080480E"/>
    <w:rsid w:val="00804C8F"/>
    <w:rsid w:val="00805108"/>
    <w:rsid w:val="00805C67"/>
    <w:rsid w:val="00806D14"/>
    <w:rsid w:val="00807C4B"/>
    <w:rsid w:val="008101ED"/>
    <w:rsid w:val="008118B7"/>
    <w:rsid w:val="00811F1B"/>
    <w:rsid w:val="00812202"/>
    <w:rsid w:val="00812D1C"/>
    <w:rsid w:val="008135D9"/>
    <w:rsid w:val="008139D4"/>
    <w:rsid w:val="00813F73"/>
    <w:rsid w:val="00815325"/>
    <w:rsid w:val="00816849"/>
    <w:rsid w:val="00816CD8"/>
    <w:rsid w:val="0082247E"/>
    <w:rsid w:val="00822BD0"/>
    <w:rsid w:val="00823B31"/>
    <w:rsid w:val="00824448"/>
    <w:rsid w:val="00824F84"/>
    <w:rsid w:val="00825445"/>
    <w:rsid w:val="00825CC5"/>
    <w:rsid w:val="008261A9"/>
    <w:rsid w:val="00826216"/>
    <w:rsid w:val="008265F9"/>
    <w:rsid w:val="008274D5"/>
    <w:rsid w:val="00830962"/>
    <w:rsid w:val="008313CA"/>
    <w:rsid w:val="00831457"/>
    <w:rsid w:val="00831A62"/>
    <w:rsid w:val="0083280E"/>
    <w:rsid w:val="00833551"/>
    <w:rsid w:val="008336EA"/>
    <w:rsid w:val="00833ABA"/>
    <w:rsid w:val="00833D55"/>
    <w:rsid w:val="00834ED7"/>
    <w:rsid w:val="00835662"/>
    <w:rsid w:val="0083577D"/>
    <w:rsid w:val="00835874"/>
    <w:rsid w:val="00835CBB"/>
    <w:rsid w:val="00835D43"/>
    <w:rsid w:val="008363E9"/>
    <w:rsid w:val="008365A2"/>
    <w:rsid w:val="00836D4A"/>
    <w:rsid w:val="008374CD"/>
    <w:rsid w:val="008416E2"/>
    <w:rsid w:val="00841CE5"/>
    <w:rsid w:val="00841F72"/>
    <w:rsid w:val="008422B0"/>
    <w:rsid w:val="00847855"/>
    <w:rsid w:val="00847870"/>
    <w:rsid w:val="008505EE"/>
    <w:rsid w:val="008507C3"/>
    <w:rsid w:val="00852D36"/>
    <w:rsid w:val="00852D50"/>
    <w:rsid w:val="008542A0"/>
    <w:rsid w:val="008544BC"/>
    <w:rsid w:val="008544ED"/>
    <w:rsid w:val="00855842"/>
    <w:rsid w:val="00856A58"/>
    <w:rsid w:val="008573C4"/>
    <w:rsid w:val="008577F4"/>
    <w:rsid w:val="00857D33"/>
    <w:rsid w:val="0086020B"/>
    <w:rsid w:val="008621D2"/>
    <w:rsid w:val="00863095"/>
    <w:rsid w:val="008639E8"/>
    <w:rsid w:val="00864301"/>
    <w:rsid w:val="00865904"/>
    <w:rsid w:val="00865F7C"/>
    <w:rsid w:val="00866A34"/>
    <w:rsid w:val="00866B6E"/>
    <w:rsid w:val="00866B85"/>
    <w:rsid w:val="00867618"/>
    <w:rsid w:val="00867768"/>
    <w:rsid w:val="00867CC9"/>
    <w:rsid w:val="00867D67"/>
    <w:rsid w:val="008705AD"/>
    <w:rsid w:val="00870DED"/>
    <w:rsid w:val="00871B28"/>
    <w:rsid w:val="00871CF0"/>
    <w:rsid w:val="00871F3F"/>
    <w:rsid w:val="00872077"/>
    <w:rsid w:val="008724AC"/>
    <w:rsid w:val="0087311A"/>
    <w:rsid w:val="00873239"/>
    <w:rsid w:val="0087606A"/>
    <w:rsid w:val="008765D2"/>
    <w:rsid w:val="00876694"/>
    <w:rsid w:val="00880A83"/>
    <w:rsid w:val="00880C3E"/>
    <w:rsid w:val="00880D8D"/>
    <w:rsid w:val="00880DE7"/>
    <w:rsid w:val="00881457"/>
    <w:rsid w:val="00881820"/>
    <w:rsid w:val="00882AD3"/>
    <w:rsid w:val="0088408E"/>
    <w:rsid w:val="00886081"/>
    <w:rsid w:val="00886229"/>
    <w:rsid w:val="0088686A"/>
    <w:rsid w:val="00886E25"/>
    <w:rsid w:val="00887956"/>
    <w:rsid w:val="00890FA1"/>
    <w:rsid w:val="0089128D"/>
    <w:rsid w:val="00891540"/>
    <w:rsid w:val="00893CB8"/>
    <w:rsid w:val="008947BB"/>
    <w:rsid w:val="00895232"/>
    <w:rsid w:val="00895B4C"/>
    <w:rsid w:val="0089725B"/>
    <w:rsid w:val="00897D11"/>
    <w:rsid w:val="008A1E49"/>
    <w:rsid w:val="008A206D"/>
    <w:rsid w:val="008A321B"/>
    <w:rsid w:val="008A3347"/>
    <w:rsid w:val="008A392E"/>
    <w:rsid w:val="008A48DA"/>
    <w:rsid w:val="008A49D0"/>
    <w:rsid w:val="008A5C0C"/>
    <w:rsid w:val="008A5FC7"/>
    <w:rsid w:val="008A62D3"/>
    <w:rsid w:val="008B03F4"/>
    <w:rsid w:val="008B068D"/>
    <w:rsid w:val="008B17E3"/>
    <w:rsid w:val="008B18F0"/>
    <w:rsid w:val="008B3B98"/>
    <w:rsid w:val="008B4AB1"/>
    <w:rsid w:val="008B6EC2"/>
    <w:rsid w:val="008B6EDD"/>
    <w:rsid w:val="008B7525"/>
    <w:rsid w:val="008C04C7"/>
    <w:rsid w:val="008C1FF3"/>
    <w:rsid w:val="008C2631"/>
    <w:rsid w:val="008C2B94"/>
    <w:rsid w:val="008C316C"/>
    <w:rsid w:val="008C32FC"/>
    <w:rsid w:val="008C4268"/>
    <w:rsid w:val="008C4403"/>
    <w:rsid w:val="008C44ED"/>
    <w:rsid w:val="008C6F53"/>
    <w:rsid w:val="008C79F2"/>
    <w:rsid w:val="008D0D8B"/>
    <w:rsid w:val="008D0E22"/>
    <w:rsid w:val="008D1BFD"/>
    <w:rsid w:val="008D21E6"/>
    <w:rsid w:val="008D2B97"/>
    <w:rsid w:val="008D42AD"/>
    <w:rsid w:val="008D64B9"/>
    <w:rsid w:val="008D682A"/>
    <w:rsid w:val="008D6EBB"/>
    <w:rsid w:val="008D7CD7"/>
    <w:rsid w:val="008E0329"/>
    <w:rsid w:val="008E1911"/>
    <w:rsid w:val="008E1C0A"/>
    <w:rsid w:val="008E1ECC"/>
    <w:rsid w:val="008E1FD4"/>
    <w:rsid w:val="008E2858"/>
    <w:rsid w:val="008E32CA"/>
    <w:rsid w:val="008E3B5D"/>
    <w:rsid w:val="008E4572"/>
    <w:rsid w:val="008E522D"/>
    <w:rsid w:val="008E7593"/>
    <w:rsid w:val="008F082D"/>
    <w:rsid w:val="008F0A52"/>
    <w:rsid w:val="008F1409"/>
    <w:rsid w:val="008F1445"/>
    <w:rsid w:val="008F19FA"/>
    <w:rsid w:val="008F2421"/>
    <w:rsid w:val="008F273D"/>
    <w:rsid w:val="008F27B7"/>
    <w:rsid w:val="008F3146"/>
    <w:rsid w:val="008F329B"/>
    <w:rsid w:val="008F35C6"/>
    <w:rsid w:val="008F3A4C"/>
    <w:rsid w:val="008F4088"/>
    <w:rsid w:val="008F409F"/>
    <w:rsid w:val="008F41E4"/>
    <w:rsid w:val="008F4F89"/>
    <w:rsid w:val="008F5403"/>
    <w:rsid w:val="008F5E24"/>
    <w:rsid w:val="008F61EC"/>
    <w:rsid w:val="008F63A4"/>
    <w:rsid w:val="008F7FEC"/>
    <w:rsid w:val="00900064"/>
    <w:rsid w:val="00900219"/>
    <w:rsid w:val="00901025"/>
    <w:rsid w:val="00901275"/>
    <w:rsid w:val="009017D2"/>
    <w:rsid w:val="0090185E"/>
    <w:rsid w:val="00901A62"/>
    <w:rsid w:val="00901ACE"/>
    <w:rsid w:val="00902B7B"/>
    <w:rsid w:val="009033C5"/>
    <w:rsid w:val="00903AAE"/>
    <w:rsid w:val="00903BF7"/>
    <w:rsid w:val="00904002"/>
    <w:rsid w:val="009040C6"/>
    <w:rsid w:val="009040F2"/>
    <w:rsid w:val="00904584"/>
    <w:rsid w:val="009048A0"/>
    <w:rsid w:val="00905D9F"/>
    <w:rsid w:val="009060D4"/>
    <w:rsid w:val="00907F4D"/>
    <w:rsid w:val="00911450"/>
    <w:rsid w:val="0091167A"/>
    <w:rsid w:val="00911888"/>
    <w:rsid w:val="009123FE"/>
    <w:rsid w:val="009125E3"/>
    <w:rsid w:val="00912B20"/>
    <w:rsid w:val="009138CB"/>
    <w:rsid w:val="00914772"/>
    <w:rsid w:val="00915355"/>
    <w:rsid w:val="00915DA7"/>
    <w:rsid w:val="009167B7"/>
    <w:rsid w:val="00916F2D"/>
    <w:rsid w:val="00920851"/>
    <w:rsid w:val="00920894"/>
    <w:rsid w:val="00920C66"/>
    <w:rsid w:val="00920C81"/>
    <w:rsid w:val="00921E98"/>
    <w:rsid w:val="00922D25"/>
    <w:rsid w:val="00923212"/>
    <w:rsid w:val="00923AFA"/>
    <w:rsid w:val="00923B83"/>
    <w:rsid w:val="00923DEC"/>
    <w:rsid w:val="00924F3F"/>
    <w:rsid w:val="0092535E"/>
    <w:rsid w:val="00925373"/>
    <w:rsid w:val="009315F5"/>
    <w:rsid w:val="00932310"/>
    <w:rsid w:val="00932E92"/>
    <w:rsid w:val="00933E33"/>
    <w:rsid w:val="00934C51"/>
    <w:rsid w:val="009351E2"/>
    <w:rsid w:val="0093536C"/>
    <w:rsid w:val="009355C6"/>
    <w:rsid w:val="00935831"/>
    <w:rsid w:val="0093622D"/>
    <w:rsid w:val="00936630"/>
    <w:rsid w:val="00936DB4"/>
    <w:rsid w:val="009400F0"/>
    <w:rsid w:val="009403EF"/>
    <w:rsid w:val="00941732"/>
    <w:rsid w:val="00941D0A"/>
    <w:rsid w:val="0094225F"/>
    <w:rsid w:val="009428EA"/>
    <w:rsid w:val="009432B6"/>
    <w:rsid w:val="009436C9"/>
    <w:rsid w:val="00943D4A"/>
    <w:rsid w:val="009457C6"/>
    <w:rsid w:val="00947E74"/>
    <w:rsid w:val="00950134"/>
    <w:rsid w:val="00950459"/>
    <w:rsid w:val="00950873"/>
    <w:rsid w:val="009525B3"/>
    <w:rsid w:val="00952D29"/>
    <w:rsid w:val="009531B4"/>
    <w:rsid w:val="0095471A"/>
    <w:rsid w:val="00955434"/>
    <w:rsid w:val="00955F2B"/>
    <w:rsid w:val="00956337"/>
    <w:rsid w:val="00957C38"/>
    <w:rsid w:val="009601A0"/>
    <w:rsid w:val="0096115C"/>
    <w:rsid w:val="009611D8"/>
    <w:rsid w:val="009619A8"/>
    <w:rsid w:val="009627CD"/>
    <w:rsid w:val="00962838"/>
    <w:rsid w:val="00962B27"/>
    <w:rsid w:val="00963048"/>
    <w:rsid w:val="00965315"/>
    <w:rsid w:val="00965BBA"/>
    <w:rsid w:val="00966D08"/>
    <w:rsid w:val="009677EE"/>
    <w:rsid w:val="00967DEC"/>
    <w:rsid w:val="0097063C"/>
    <w:rsid w:val="0097070F"/>
    <w:rsid w:val="009707DB"/>
    <w:rsid w:val="00970FC8"/>
    <w:rsid w:val="00971A0C"/>
    <w:rsid w:val="0097220E"/>
    <w:rsid w:val="00973B3C"/>
    <w:rsid w:val="00974C2C"/>
    <w:rsid w:val="00974F0E"/>
    <w:rsid w:val="00977E7C"/>
    <w:rsid w:val="00977EAA"/>
    <w:rsid w:val="0098155A"/>
    <w:rsid w:val="0098221B"/>
    <w:rsid w:val="00983354"/>
    <w:rsid w:val="00983467"/>
    <w:rsid w:val="009837F9"/>
    <w:rsid w:val="009841E9"/>
    <w:rsid w:val="00984A30"/>
    <w:rsid w:val="00984F63"/>
    <w:rsid w:val="00984FA9"/>
    <w:rsid w:val="00985AB1"/>
    <w:rsid w:val="0098677F"/>
    <w:rsid w:val="00986CB8"/>
    <w:rsid w:val="00987E90"/>
    <w:rsid w:val="00990F48"/>
    <w:rsid w:val="009924E1"/>
    <w:rsid w:val="009927C1"/>
    <w:rsid w:val="00993993"/>
    <w:rsid w:val="0099400D"/>
    <w:rsid w:val="00994182"/>
    <w:rsid w:val="0099485B"/>
    <w:rsid w:val="00994907"/>
    <w:rsid w:val="0099530B"/>
    <w:rsid w:val="0099565E"/>
    <w:rsid w:val="009958E2"/>
    <w:rsid w:val="00995A1B"/>
    <w:rsid w:val="0099612C"/>
    <w:rsid w:val="00996BF0"/>
    <w:rsid w:val="00997E25"/>
    <w:rsid w:val="009A02AF"/>
    <w:rsid w:val="009A02FC"/>
    <w:rsid w:val="009A052B"/>
    <w:rsid w:val="009A0AA1"/>
    <w:rsid w:val="009A1EE2"/>
    <w:rsid w:val="009A2A73"/>
    <w:rsid w:val="009A2E6D"/>
    <w:rsid w:val="009A373C"/>
    <w:rsid w:val="009A3A04"/>
    <w:rsid w:val="009A553E"/>
    <w:rsid w:val="009A56DC"/>
    <w:rsid w:val="009A5C95"/>
    <w:rsid w:val="009A5D28"/>
    <w:rsid w:val="009A6242"/>
    <w:rsid w:val="009A67A5"/>
    <w:rsid w:val="009A7D8E"/>
    <w:rsid w:val="009A7FC8"/>
    <w:rsid w:val="009B0030"/>
    <w:rsid w:val="009B07B8"/>
    <w:rsid w:val="009B0A34"/>
    <w:rsid w:val="009B0C52"/>
    <w:rsid w:val="009B1525"/>
    <w:rsid w:val="009B2F86"/>
    <w:rsid w:val="009B44C1"/>
    <w:rsid w:val="009B469A"/>
    <w:rsid w:val="009B56EE"/>
    <w:rsid w:val="009B5D75"/>
    <w:rsid w:val="009B695A"/>
    <w:rsid w:val="009B6A6D"/>
    <w:rsid w:val="009B7C4C"/>
    <w:rsid w:val="009C0A9C"/>
    <w:rsid w:val="009C1561"/>
    <w:rsid w:val="009C1791"/>
    <w:rsid w:val="009C1AAB"/>
    <w:rsid w:val="009C243B"/>
    <w:rsid w:val="009C2471"/>
    <w:rsid w:val="009C2527"/>
    <w:rsid w:val="009C259C"/>
    <w:rsid w:val="009C26FA"/>
    <w:rsid w:val="009C27DC"/>
    <w:rsid w:val="009C2B2C"/>
    <w:rsid w:val="009C2D4F"/>
    <w:rsid w:val="009C4DDF"/>
    <w:rsid w:val="009C5658"/>
    <w:rsid w:val="009C5C77"/>
    <w:rsid w:val="009C6C39"/>
    <w:rsid w:val="009C6CD3"/>
    <w:rsid w:val="009C7936"/>
    <w:rsid w:val="009D02DD"/>
    <w:rsid w:val="009D080E"/>
    <w:rsid w:val="009D08DE"/>
    <w:rsid w:val="009D0F39"/>
    <w:rsid w:val="009D114C"/>
    <w:rsid w:val="009D148E"/>
    <w:rsid w:val="009D1AA8"/>
    <w:rsid w:val="009D1E00"/>
    <w:rsid w:val="009D4A53"/>
    <w:rsid w:val="009D5C9C"/>
    <w:rsid w:val="009D624E"/>
    <w:rsid w:val="009D6982"/>
    <w:rsid w:val="009D6E73"/>
    <w:rsid w:val="009D6F28"/>
    <w:rsid w:val="009D702B"/>
    <w:rsid w:val="009D7BA0"/>
    <w:rsid w:val="009E0D23"/>
    <w:rsid w:val="009E1648"/>
    <w:rsid w:val="009E1B1D"/>
    <w:rsid w:val="009E2576"/>
    <w:rsid w:val="009E3187"/>
    <w:rsid w:val="009E31F0"/>
    <w:rsid w:val="009E34FB"/>
    <w:rsid w:val="009E3678"/>
    <w:rsid w:val="009E3791"/>
    <w:rsid w:val="009E596D"/>
    <w:rsid w:val="009E600F"/>
    <w:rsid w:val="009E60E6"/>
    <w:rsid w:val="009E627A"/>
    <w:rsid w:val="009E63E2"/>
    <w:rsid w:val="009E660C"/>
    <w:rsid w:val="009E6681"/>
    <w:rsid w:val="009E6EA1"/>
    <w:rsid w:val="009E7AC6"/>
    <w:rsid w:val="009F174F"/>
    <w:rsid w:val="009F1E05"/>
    <w:rsid w:val="009F2568"/>
    <w:rsid w:val="009F2785"/>
    <w:rsid w:val="009F330F"/>
    <w:rsid w:val="009F3D32"/>
    <w:rsid w:val="009F4F2B"/>
    <w:rsid w:val="009F5424"/>
    <w:rsid w:val="009F5CE1"/>
    <w:rsid w:val="009F5F4E"/>
    <w:rsid w:val="009F74AD"/>
    <w:rsid w:val="00A002AC"/>
    <w:rsid w:val="00A0141F"/>
    <w:rsid w:val="00A01F8A"/>
    <w:rsid w:val="00A0242E"/>
    <w:rsid w:val="00A029AB"/>
    <w:rsid w:val="00A02AF2"/>
    <w:rsid w:val="00A02FC4"/>
    <w:rsid w:val="00A030BA"/>
    <w:rsid w:val="00A03F4D"/>
    <w:rsid w:val="00A04ED7"/>
    <w:rsid w:val="00A0549B"/>
    <w:rsid w:val="00A0586D"/>
    <w:rsid w:val="00A05D92"/>
    <w:rsid w:val="00A10664"/>
    <w:rsid w:val="00A12108"/>
    <w:rsid w:val="00A1240D"/>
    <w:rsid w:val="00A12E4C"/>
    <w:rsid w:val="00A13F2B"/>
    <w:rsid w:val="00A145E4"/>
    <w:rsid w:val="00A148E1"/>
    <w:rsid w:val="00A149C2"/>
    <w:rsid w:val="00A14B94"/>
    <w:rsid w:val="00A1508E"/>
    <w:rsid w:val="00A16CAB"/>
    <w:rsid w:val="00A17F46"/>
    <w:rsid w:val="00A20423"/>
    <w:rsid w:val="00A208A9"/>
    <w:rsid w:val="00A21327"/>
    <w:rsid w:val="00A21F90"/>
    <w:rsid w:val="00A23281"/>
    <w:rsid w:val="00A242AE"/>
    <w:rsid w:val="00A246A8"/>
    <w:rsid w:val="00A26071"/>
    <w:rsid w:val="00A271A3"/>
    <w:rsid w:val="00A30109"/>
    <w:rsid w:val="00A30C4A"/>
    <w:rsid w:val="00A30E32"/>
    <w:rsid w:val="00A3122C"/>
    <w:rsid w:val="00A31534"/>
    <w:rsid w:val="00A32666"/>
    <w:rsid w:val="00A3289B"/>
    <w:rsid w:val="00A33549"/>
    <w:rsid w:val="00A33A1F"/>
    <w:rsid w:val="00A352E1"/>
    <w:rsid w:val="00A3547C"/>
    <w:rsid w:val="00A35AF0"/>
    <w:rsid w:val="00A35ED9"/>
    <w:rsid w:val="00A36B97"/>
    <w:rsid w:val="00A40865"/>
    <w:rsid w:val="00A42060"/>
    <w:rsid w:val="00A4374F"/>
    <w:rsid w:val="00A44AF6"/>
    <w:rsid w:val="00A44B74"/>
    <w:rsid w:val="00A45248"/>
    <w:rsid w:val="00A45627"/>
    <w:rsid w:val="00A479C5"/>
    <w:rsid w:val="00A50610"/>
    <w:rsid w:val="00A50C50"/>
    <w:rsid w:val="00A51E1C"/>
    <w:rsid w:val="00A52DF1"/>
    <w:rsid w:val="00A53289"/>
    <w:rsid w:val="00A53E2D"/>
    <w:rsid w:val="00A540FA"/>
    <w:rsid w:val="00A558E0"/>
    <w:rsid w:val="00A56AFA"/>
    <w:rsid w:val="00A56E31"/>
    <w:rsid w:val="00A56F0F"/>
    <w:rsid w:val="00A572EA"/>
    <w:rsid w:val="00A57D65"/>
    <w:rsid w:val="00A600FE"/>
    <w:rsid w:val="00A602C1"/>
    <w:rsid w:val="00A605EA"/>
    <w:rsid w:val="00A606C9"/>
    <w:rsid w:val="00A606D2"/>
    <w:rsid w:val="00A60CB4"/>
    <w:rsid w:val="00A61130"/>
    <w:rsid w:val="00A6153B"/>
    <w:rsid w:val="00A62BAF"/>
    <w:rsid w:val="00A63099"/>
    <w:rsid w:val="00A637C9"/>
    <w:rsid w:val="00A6402E"/>
    <w:rsid w:val="00A64405"/>
    <w:rsid w:val="00A647F3"/>
    <w:rsid w:val="00A65B5B"/>
    <w:rsid w:val="00A65C05"/>
    <w:rsid w:val="00A65D5D"/>
    <w:rsid w:val="00A66F00"/>
    <w:rsid w:val="00A67A1C"/>
    <w:rsid w:val="00A7070D"/>
    <w:rsid w:val="00A716E2"/>
    <w:rsid w:val="00A71860"/>
    <w:rsid w:val="00A72583"/>
    <w:rsid w:val="00A72BBA"/>
    <w:rsid w:val="00A72F81"/>
    <w:rsid w:val="00A7408A"/>
    <w:rsid w:val="00A74277"/>
    <w:rsid w:val="00A744B2"/>
    <w:rsid w:val="00A74D74"/>
    <w:rsid w:val="00A74EFF"/>
    <w:rsid w:val="00A756BE"/>
    <w:rsid w:val="00A766BD"/>
    <w:rsid w:val="00A77514"/>
    <w:rsid w:val="00A77D2B"/>
    <w:rsid w:val="00A80204"/>
    <w:rsid w:val="00A806EF"/>
    <w:rsid w:val="00A81144"/>
    <w:rsid w:val="00A8210E"/>
    <w:rsid w:val="00A8299E"/>
    <w:rsid w:val="00A836E7"/>
    <w:rsid w:val="00A837FE"/>
    <w:rsid w:val="00A83835"/>
    <w:rsid w:val="00A83AE6"/>
    <w:rsid w:val="00A842B5"/>
    <w:rsid w:val="00A8446A"/>
    <w:rsid w:val="00A86E1B"/>
    <w:rsid w:val="00A87994"/>
    <w:rsid w:val="00A87C29"/>
    <w:rsid w:val="00A9105B"/>
    <w:rsid w:val="00A91599"/>
    <w:rsid w:val="00A9191A"/>
    <w:rsid w:val="00A92A65"/>
    <w:rsid w:val="00A93F40"/>
    <w:rsid w:val="00A944A1"/>
    <w:rsid w:val="00A947DF"/>
    <w:rsid w:val="00A957EA"/>
    <w:rsid w:val="00A97359"/>
    <w:rsid w:val="00AA0164"/>
    <w:rsid w:val="00AA0F51"/>
    <w:rsid w:val="00AA1566"/>
    <w:rsid w:val="00AA17D8"/>
    <w:rsid w:val="00AA1A80"/>
    <w:rsid w:val="00AA1D6E"/>
    <w:rsid w:val="00AA29AB"/>
    <w:rsid w:val="00AA2FF6"/>
    <w:rsid w:val="00AA4354"/>
    <w:rsid w:val="00AA458B"/>
    <w:rsid w:val="00AA4793"/>
    <w:rsid w:val="00AA4921"/>
    <w:rsid w:val="00AA5404"/>
    <w:rsid w:val="00AA5EF3"/>
    <w:rsid w:val="00AA6563"/>
    <w:rsid w:val="00AA6953"/>
    <w:rsid w:val="00AA6A49"/>
    <w:rsid w:val="00AA6CE9"/>
    <w:rsid w:val="00AA7948"/>
    <w:rsid w:val="00AA796C"/>
    <w:rsid w:val="00AA7B8A"/>
    <w:rsid w:val="00AB09C9"/>
    <w:rsid w:val="00AB142F"/>
    <w:rsid w:val="00AB189F"/>
    <w:rsid w:val="00AB1E38"/>
    <w:rsid w:val="00AB276E"/>
    <w:rsid w:val="00AB2BDC"/>
    <w:rsid w:val="00AB2D21"/>
    <w:rsid w:val="00AB37F8"/>
    <w:rsid w:val="00AB39CC"/>
    <w:rsid w:val="00AB3EBD"/>
    <w:rsid w:val="00AB508D"/>
    <w:rsid w:val="00AB514D"/>
    <w:rsid w:val="00AB577B"/>
    <w:rsid w:val="00AB759B"/>
    <w:rsid w:val="00AB770E"/>
    <w:rsid w:val="00AC0949"/>
    <w:rsid w:val="00AC0D89"/>
    <w:rsid w:val="00AC0DD5"/>
    <w:rsid w:val="00AC0E58"/>
    <w:rsid w:val="00AC2293"/>
    <w:rsid w:val="00AC23C3"/>
    <w:rsid w:val="00AC2EA5"/>
    <w:rsid w:val="00AC33A4"/>
    <w:rsid w:val="00AC3F89"/>
    <w:rsid w:val="00AC4946"/>
    <w:rsid w:val="00AC4DCD"/>
    <w:rsid w:val="00AC5AF3"/>
    <w:rsid w:val="00AC67B5"/>
    <w:rsid w:val="00AC73D9"/>
    <w:rsid w:val="00AC743D"/>
    <w:rsid w:val="00AC7660"/>
    <w:rsid w:val="00AD0834"/>
    <w:rsid w:val="00AD1692"/>
    <w:rsid w:val="00AD17D6"/>
    <w:rsid w:val="00AD208C"/>
    <w:rsid w:val="00AD3DA6"/>
    <w:rsid w:val="00AD4570"/>
    <w:rsid w:val="00AD46D5"/>
    <w:rsid w:val="00AD492E"/>
    <w:rsid w:val="00AD53FA"/>
    <w:rsid w:val="00AD5D24"/>
    <w:rsid w:val="00AD60FA"/>
    <w:rsid w:val="00AD6D68"/>
    <w:rsid w:val="00AD78D7"/>
    <w:rsid w:val="00AD7EE1"/>
    <w:rsid w:val="00AE0A95"/>
    <w:rsid w:val="00AE10D2"/>
    <w:rsid w:val="00AE1EC1"/>
    <w:rsid w:val="00AE20FE"/>
    <w:rsid w:val="00AE2805"/>
    <w:rsid w:val="00AE3561"/>
    <w:rsid w:val="00AE35C2"/>
    <w:rsid w:val="00AE3DA6"/>
    <w:rsid w:val="00AE438F"/>
    <w:rsid w:val="00AE649C"/>
    <w:rsid w:val="00AE6522"/>
    <w:rsid w:val="00AE71BD"/>
    <w:rsid w:val="00AE7EBC"/>
    <w:rsid w:val="00AF0EE3"/>
    <w:rsid w:val="00AF1800"/>
    <w:rsid w:val="00AF2E43"/>
    <w:rsid w:val="00AF4BD4"/>
    <w:rsid w:val="00AF5825"/>
    <w:rsid w:val="00AF5EC7"/>
    <w:rsid w:val="00B0003A"/>
    <w:rsid w:val="00B00D38"/>
    <w:rsid w:val="00B01B6A"/>
    <w:rsid w:val="00B021CA"/>
    <w:rsid w:val="00B022BE"/>
    <w:rsid w:val="00B03A37"/>
    <w:rsid w:val="00B03B64"/>
    <w:rsid w:val="00B045D1"/>
    <w:rsid w:val="00B0539C"/>
    <w:rsid w:val="00B0645D"/>
    <w:rsid w:val="00B06E7A"/>
    <w:rsid w:val="00B1008F"/>
    <w:rsid w:val="00B107CA"/>
    <w:rsid w:val="00B10C74"/>
    <w:rsid w:val="00B1170C"/>
    <w:rsid w:val="00B122B4"/>
    <w:rsid w:val="00B12FF0"/>
    <w:rsid w:val="00B1393C"/>
    <w:rsid w:val="00B147E2"/>
    <w:rsid w:val="00B14CFA"/>
    <w:rsid w:val="00B14E51"/>
    <w:rsid w:val="00B155DD"/>
    <w:rsid w:val="00B158FB"/>
    <w:rsid w:val="00B15987"/>
    <w:rsid w:val="00B15C74"/>
    <w:rsid w:val="00B1676B"/>
    <w:rsid w:val="00B16F29"/>
    <w:rsid w:val="00B1753F"/>
    <w:rsid w:val="00B201D8"/>
    <w:rsid w:val="00B201E4"/>
    <w:rsid w:val="00B20218"/>
    <w:rsid w:val="00B22116"/>
    <w:rsid w:val="00B22F4C"/>
    <w:rsid w:val="00B25A28"/>
    <w:rsid w:val="00B32D3C"/>
    <w:rsid w:val="00B32EB0"/>
    <w:rsid w:val="00B33645"/>
    <w:rsid w:val="00B342A4"/>
    <w:rsid w:val="00B34671"/>
    <w:rsid w:val="00B353D5"/>
    <w:rsid w:val="00B35647"/>
    <w:rsid w:val="00B35953"/>
    <w:rsid w:val="00B3615D"/>
    <w:rsid w:val="00B365A6"/>
    <w:rsid w:val="00B369E7"/>
    <w:rsid w:val="00B36A91"/>
    <w:rsid w:val="00B3702F"/>
    <w:rsid w:val="00B371B2"/>
    <w:rsid w:val="00B3724D"/>
    <w:rsid w:val="00B37623"/>
    <w:rsid w:val="00B37EA9"/>
    <w:rsid w:val="00B40AF9"/>
    <w:rsid w:val="00B4186F"/>
    <w:rsid w:val="00B4207F"/>
    <w:rsid w:val="00B426E6"/>
    <w:rsid w:val="00B433CF"/>
    <w:rsid w:val="00B434E0"/>
    <w:rsid w:val="00B438C8"/>
    <w:rsid w:val="00B44E41"/>
    <w:rsid w:val="00B452F5"/>
    <w:rsid w:val="00B45979"/>
    <w:rsid w:val="00B4645B"/>
    <w:rsid w:val="00B46E09"/>
    <w:rsid w:val="00B476CE"/>
    <w:rsid w:val="00B47E24"/>
    <w:rsid w:val="00B5063C"/>
    <w:rsid w:val="00B514FD"/>
    <w:rsid w:val="00B5194D"/>
    <w:rsid w:val="00B521FA"/>
    <w:rsid w:val="00B52965"/>
    <w:rsid w:val="00B52ECD"/>
    <w:rsid w:val="00B5338F"/>
    <w:rsid w:val="00B54069"/>
    <w:rsid w:val="00B54226"/>
    <w:rsid w:val="00B54562"/>
    <w:rsid w:val="00B550F2"/>
    <w:rsid w:val="00B560A6"/>
    <w:rsid w:val="00B56142"/>
    <w:rsid w:val="00B56F5D"/>
    <w:rsid w:val="00B57899"/>
    <w:rsid w:val="00B607E3"/>
    <w:rsid w:val="00B60F39"/>
    <w:rsid w:val="00B61873"/>
    <w:rsid w:val="00B632A3"/>
    <w:rsid w:val="00B63504"/>
    <w:rsid w:val="00B63817"/>
    <w:rsid w:val="00B64878"/>
    <w:rsid w:val="00B64CBA"/>
    <w:rsid w:val="00B64CD8"/>
    <w:rsid w:val="00B65FA9"/>
    <w:rsid w:val="00B66854"/>
    <w:rsid w:val="00B67094"/>
    <w:rsid w:val="00B67E34"/>
    <w:rsid w:val="00B67FF8"/>
    <w:rsid w:val="00B715B6"/>
    <w:rsid w:val="00B724BA"/>
    <w:rsid w:val="00B732F7"/>
    <w:rsid w:val="00B75916"/>
    <w:rsid w:val="00B75EE2"/>
    <w:rsid w:val="00B7609F"/>
    <w:rsid w:val="00B767D7"/>
    <w:rsid w:val="00B76B2B"/>
    <w:rsid w:val="00B77A5C"/>
    <w:rsid w:val="00B805CA"/>
    <w:rsid w:val="00B80CF5"/>
    <w:rsid w:val="00B811A2"/>
    <w:rsid w:val="00B813D7"/>
    <w:rsid w:val="00B81785"/>
    <w:rsid w:val="00B81A22"/>
    <w:rsid w:val="00B81D57"/>
    <w:rsid w:val="00B82084"/>
    <w:rsid w:val="00B82A43"/>
    <w:rsid w:val="00B82E45"/>
    <w:rsid w:val="00B8342A"/>
    <w:rsid w:val="00B8369F"/>
    <w:rsid w:val="00B83BE7"/>
    <w:rsid w:val="00B83EB7"/>
    <w:rsid w:val="00B84351"/>
    <w:rsid w:val="00B847F1"/>
    <w:rsid w:val="00B84C29"/>
    <w:rsid w:val="00B85066"/>
    <w:rsid w:val="00B85298"/>
    <w:rsid w:val="00B85775"/>
    <w:rsid w:val="00B85FA5"/>
    <w:rsid w:val="00B904AA"/>
    <w:rsid w:val="00B916E7"/>
    <w:rsid w:val="00B9189A"/>
    <w:rsid w:val="00B91D24"/>
    <w:rsid w:val="00B92FB5"/>
    <w:rsid w:val="00B93A1E"/>
    <w:rsid w:val="00B93C61"/>
    <w:rsid w:val="00B94B1F"/>
    <w:rsid w:val="00B951D5"/>
    <w:rsid w:val="00B953DE"/>
    <w:rsid w:val="00B95EA1"/>
    <w:rsid w:val="00B96F89"/>
    <w:rsid w:val="00BA0EC6"/>
    <w:rsid w:val="00BA1F14"/>
    <w:rsid w:val="00BA22A4"/>
    <w:rsid w:val="00BA23F1"/>
    <w:rsid w:val="00BA3AE0"/>
    <w:rsid w:val="00BA4571"/>
    <w:rsid w:val="00BA46ED"/>
    <w:rsid w:val="00BA579D"/>
    <w:rsid w:val="00BA6D9F"/>
    <w:rsid w:val="00BA7101"/>
    <w:rsid w:val="00BA74FE"/>
    <w:rsid w:val="00BB11DB"/>
    <w:rsid w:val="00BB1C7E"/>
    <w:rsid w:val="00BB213C"/>
    <w:rsid w:val="00BB247E"/>
    <w:rsid w:val="00BB2D43"/>
    <w:rsid w:val="00BB3B22"/>
    <w:rsid w:val="00BB3F75"/>
    <w:rsid w:val="00BB4380"/>
    <w:rsid w:val="00BB5187"/>
    <w:rsid w:val="00BB539F"/>
    <w:rsid w:val="00BB5712"/>
    <w:rsid w:val="00BB5938"/>
    <w:rsid w:val="00BB5BF2"/>
    <w:rsid w:val="00BB6382"/>
    <w:rsid w:val="00BB63BC"/>
    <w:rsid w:val="00BB6592"/>
    <w:rsid w:val="00BB7664"/>
    <w:rsid w:val="00BB7C63"/>
    <w:rsid w:val="00BC0236"/>
    <w:rsid w:val="00BC068A"/>
    <w:rsid w:val="00BC1C29"/>
    <w:rsid w:val="00BC1DD4"/>
    <w:rsid w:val="00BC37F8"/>
    <w:rsid w:val="00BC44E9"/>
    <w:rsid w:val="00BC488B"/>
    <w:rsid w:val="00BC4993"/>
    <w:rsid w:val="00BC4F2C"/>
    <w:rsid w:val="00BC7F3E"/>
    <w:rsid w:val="00BD02B6"/>
    <w:rsid w:val="00BD0D97"/>
    <w:rsid w:val="00BD0F44"/>
    <w:rsid w:val="00BD16B7"/>
    <w:rsid w:val="00BD24D8"/>
    <w:rsid w:val="00BD29DF"/>
    <w:rsid w:val="00BD3673"/>
    <w:rsid w:val="00BD3E59"/>
    <w:rsid w:val="00BD4DE8"/>
    <w:rsid w:val="00BD5C16"/>
    <w:rsid w:val="00BD5CC4"/>
    <w:rsid w:val="00BD7E76"/>
    <w:rsid w:val="00BE0341"/>
    <w:rsid w:val="00BE0389"/>
    <w:rsid w:val="00BE03E6"/>
    <w:rsid w:val="00BE0E90"/>
    <w:rsid w:val="00BE117F"/>
    <w:rsid w:val="00BE1EFE"/>
    <w:rsid w:val="00BE3732"/>
    <w:rsid w:val="00BE3DAE"/>
    <w:rsid w:val="00BE4897"/>
    <w:rsid w:val="00BE49D4"/>
    <w:rsid w:val="00BE4DF4"/>
    <w:rsid w:val="00BE55C3"/>
    <w:rsid w:val="00BE5E05"/>
    <w:rsid w:val="00BE689A"/>
    <w:rsid w:val="00BE7C1E"/>
    <w:rsid w:val="00BF00D5"/>
    <w:rsid w:val="00BF2452"/>
    <w:rsid w:val="00BF2477"/>
    <w:rsid w:val="00BF270A"/>
    <w:rsid w:val="00BF29C4"/>
    <w:rsid w:val="00BF3456"/>
    <w:rsid w:val="00BF3D71"/>
    <w:rsid w:val="00BF40B5"/>
    <w:rsid w:val="00BF5994"/>
    <w:rsid w:val="00BF5FDA"/>
    <w:rsid w:val="00BF688F"/>
    <w:rsid w:val="00BF708E"/>
    <w:rsid w:val="00BF7667"/>
    <w:rsid w:val="00BF7CA5"/>
    <w:rsid w:val="00C0006C"/>
    <w:rsid w:val="00C0037D"/>
    <w:rsid w:val="00C0057E"/>
    <w:rsid w:val="00C015D4"/>
    <w:rsid w:val="00C01DBA"/>
    <w:rsid w:val="00C02607"/>
    <w:rsid w:val="00C03AB9"/>
    <w:rsid w:val="00C03BB4"/>
    <w:rsid w:val="00C047F1"/>
    <w:rsid w:val="00C055A6"/>
    <w:rsid w:val="00C0565A"/>
    <w:rsid w:val="00C07619"/>
    <w:rsid w:val="00C07CEA"/>
    <w:rsid w:val="00C07D6A"/>
    <w:rsid w:val="00C10BC2"/>
    <w:rsid w:val="00C112FC"/>
    <w:rsid w:val="00C12DF9"/>
    <w:rsid w:val="00C159B9"/>
    <w:rsid w:val="00C16099"/>
    <w:rsid w:val="00C166CD"/>
    <w:rsid w:val="00C177E2"/>
    <w:rsid w:val="00C200C8"/>
    <w:rsid w:val="00C21C06"/>
    <w:rsid w:val="00C23CDA"/>
    <w:rsid w:val="00C23E2B"/>
    <w:rsid w:val="00C2435B"/>
    <w:rsid w:val="00C2482B"/>
    <w:rsid w:val="00C24AEA"/>
    <w:rsid w:val="00C24E64"/>
    <w:rsid w:val="00C24F16"/>
    <w:rsid w:val="00C260BC"/>
    <w:rsid w:val="00C26313"/>
    <w:rsid w:val="00C26828"/>
    <w:rsid w:val="00C272C0"/>
    <w:rsid w:val="00C30182"/>
    <w:rsid w:val="00C3083A"/>
    <w:rsid w:val="00C30BC9"/>
    <w:rsid w:val="00C31074"/>
    <w:rsid w:val="00C31108"/>
    <w:rsid w:val="00C31354"/>
    <w:rsid w:val="00C31580"/>
    <w:rsid w:val="00C316C8"/>
    <w:rsid w:val="00C320CC"/>
    <w:rsid w:val="00C32C57"/>
    <w:rsid w:val="00C33302"/>
    <w:rsid w:val="00C33CE5"/>
    <w:rsid w:val="00C34907"/>
    <w:rsid w:val="00C3554B"/>
    <w:rsid w:val="00C36BAB"/>
    <w:rsid w:val="00C40038"/>
    <w:rsid w:val="00C40E92"/>
    <w:rsid w:val="00C41060"/>
    <w:rsid w:val="00C41181"/>
    <w:rsid w:val="00C418A5"/>
    <w:rsid w:val="00C42146"/>
    <w:rsid w:val="00C42F7E"/>
    <w:rsid w:val="00C4341E"/>
    <w:rsid w:val="00C43655"/>
    <w:rsid w:val="00C43BBD"/>
    <w:rsid w:val="00C44838"/>
    <w:rsid w:val="00C453A8"/>
    <w:rsid w:val="00C45709"/>
    <w:rsid w:val="00C4640D"/>
    <w:rsid w:val="00C472CD"/>
    <w:rsid w:val="00C475AF"/>
    <w:rsid w:val="00C47623"/>
    <w:rsid w:val="00C500CC"/>
    <w:rsid w:val="00C50BE0"/>
    <w:rsid w:val="00C51F0F"/>
    <w:rsid w:val="00C52B87"/>
    <w:rsid w:val="00C52CCE"/>
    <w:rsid w:val="00C52E1F"/>
    <w:rsid w:val="00C52FC3"/>
    <w:rsid w:val="00C53294"/>
    <w:rsid w:val="00C53611"/>
    <w:rsid w:val="00C53A5D"/>
    <w:rsid w:val="00C54592"/>
    <w:rsid w:val="00C549F1"/>
    <w:rsid w:val="00C54F45"/>
    <w:rsid w:val="00C5504D"/>
    <w:rsid w:val="00C56118"/>
    <w:rsid w:val="00C5680B"/>
    <w:rsid w:val="00C56B2A"/>
    <w:rsid w:val="00C5740D"/>
    <w:rsid w:val="00C5748F"/>
    <w:rsid w:val="00C57501"/>
    <w:rsid w:val="00C57DED"/>
    <w:rsid w:val="00C60027"/>
    <w:rsid w:val="00C60575"/>
    <w:rsid w:val="00C61733"/>
    <w:rsid w:val="00C61B29"/>
    <w:rsid w:val="00C625C9"/>
    <w:rsid w:val="00C633C6"/>
    <w:rsid w:val="00C635BD"/>
    <w:rsid w:val="00C63A94"/>
    <w:rsid w:val="00C63E97"/>
    <w:rsid w:val="00C64AD2"/>
    <w:rsid w:val="00C65F0E"/>
    <w:rsid w:val="00C66804"/>
    <w:rsid w:val="00C6730F"/>
    <w:rsid w:val="00C67CE2"/>
    <w:rsid w:val="00C7012A"/>
    <w:rsid w:val="00C70492"/>
    <w:rsid w:val="00C70B02"/>
    <w:rsid w:val="00C71B4C"/>
    <w:rsid w:val="00C72360"/>
    <w:rsid w:val="00C72D72"/>
    <w:rsid w:val="00C73240"/>
    <w:rsid w:val="00C74060"/>
    <w:rsid w:val="00C74837"/>
    <w:rsid w:val="00C74F9D"/>
    <w:rsid w:val="00C75347"/>
    <w:rsid w:val="00C753A6"/>
    <w:rsid w:val="00C75CB3"/>
    <w:rsid w:val="00C76063"/>
    <w:rsid w:val="00C76913"/>
    <w:rsid w:val="00C769FB"/>
    <w:rsid w:val="00C7748A"/>
    <w:rsid w:val="00C7779E"/>
    <w:rsid w:val="00C777B1"/>
    <w:rsid w:val="00C77FD3"/>
    <w:rsid w:val="00C801D4"/>
    <w:rsid w:val="00C81DF9"/>
    <w:rsid w:val="00C81E4D"/>
    <w:rsid w:val="00C824F7"/>
    <w:rsid w:val="00C84F72"/>
    <w:rsid w:val="00C85995"/>
    <w:rsid w:val="00C85FB8"/>
    <w:rsid w:val="00C86814"/>
    <w:rsid w:val="00C869F4"/>
    <w:rsid w:val="00C870E0"/>
    <w:rsid w:val="00C871D3"/>
    <w:rsid w:val="00C872FC"/>
    <w:rsid w:val="00C908D5"/>
    <w:rsid w:val="00C91F80"/>
    <w:rsid w:val="00C92340"/>
    <w:rsid w:val="00C9246C"/>
    <w:rsid w:val="00C926D1"/>
    <w:rsid w:val="00C92F5E"/>
    <w:rsid w:val="00C9329E"/>
    <w:rsid w:val="00C936D8"/>
    <w:rsid w:val="00C93B11"/>
    <w:rsid w:val="00C9409B"/>
    <w:rsid w:val="00C94362"/>
    <w:rsid w:val="00C94829"/>
    <w:rsid w:val="00C96557"/>
    <w:rsid w:val="00C97E65"/>
    <w:rsid w:val="00CA0A84"/>
    <w:rsid w:val="00CA0BE7"/>
    <w:rsid w:val="00CA1D5E"/>
    <w:rsid w:val="00CA210B"/>
    <w:rsid w:val="00CA22EE"/>
    <w:rsid w:val="00CA2397"/>
    <w:rsid w:val="00CA26ED"/>
    <w:rsid w:val="00CA2C13"/>
    <w:rsid w:val="00CA37B1"/>
    <w:rsid w:val="00CA387F"/>
    <w:rsid w:val="00CA4C1C"/>
    <w:rsid w:val="00CA60A6"/>
    <w:rsid w:val="00CA6B43"/>
    <w:rsid w:val="00CA6C96"/>
    <w:rsid w:val="00CA7062"/>
    <w:rsid w:val="00CB01DD"/>
    <w:rsid w:val="00CB06BD"/>
    <w:rsid w:val="00CB08FC"/>
    <w:rsid w:val="00CB0951"/>
    <w:rsid w:val="00CB108E"/>
    <w:rsid w:val="00CB113F"/>
    <w:rsid w:val="00CB1322"/>
    <w:rsid w:val="00CB166A"/>
    <w:rsid w:val="00CB317C"/>
    <w:rsid w:val="00CB36AD"/>
    <w:rsid w:val="00CB43FE"/>
    <w:rsid w:val="00CB4E86"/>
    <w:rsid w:val="00CB4EF9"/>
    <w:rsid w:val="00CB560C"/>
    <w:rsid w:val="00CB64BD"/>
    <w:rsid w:val="00CB6664"/>
    <w:rsid w:val="00CB7058"/>
    <w:rsid w:val="00CB72F2"/>
    <w:rsid w:val="00CB76C3"/>
    <w:rsid w:val="00CB7B8F"/>
    <w:rsid w:val="00CC1323"/>
    <w:rsid w:val="00CC1DD1"/>
    <w:rsid w:val="00CC2015"/>
    <w:rsid w:val="00CC220A"/>
    <w:rsid w:val="00CC2626"/>
    <w:rsid w:val="00CC28D2"/>
    <w:rsid w:val="00CC2D49"/>
    <w:rsid w:val="00CC320E"/>
    <w:rsid w:val="00CC4060"/>
    <w:rsid w:val="00CC611D"/>
    <w:rsid w:val="00CC71D7"/>
    <w:rsid w:val="00CC728D"/>
    <w:rsid w:val="00CC75A7"/>
    <w:rsid w:val="00CC7776"/>
    <w:rsid w:val="00CC7A15"/>
    <w:rsid w:val="00CC7CC0"/>
    <w:rsid w:val="00CC7E33"/>
    <w:rsid w:val="00CD0D31"/>
    <w:rsid w:val="00CD0FDC"/>
    <w:rsid w:val="00CD1A08"/>
    <w:rsid w:val="00CD2122"/>
    <w:rsid w:val="00CD294B"/>
    <w:rsid w:val="00CD3B20"/>
    <w:rsid w:val="00CD40DF"/>
    <w:rsid w:val="00CD432D"/>
    <w:rsid w:val="00CD43C6"/>
    <w:rsid w:val="00CD464D"/>
    <w:rsid w:val="00CD5328"/>
    <w:rsid w:val="00CD605E"/>
    <w:rsid w:val="00CE0060"/>
    <w:rsid w:val="00CE03CD"/>
    <w:rsid w:val="00CE0A03"/>
    <w:rsid w:val="00CE0A6D"/>
    <w:rsid w:val="00CE0C27"/>
    <w:rsid w:val="00CE1396"/>
    <w:rsid w:val="00CE2225"/>
    <w:rsid w:val="00CE3468"/>
    <w:rsid w:val="00CE35DA"/>
    <w:rsid w:val="00CE3772"/>
    <w:rsid w:val="00CE5E57"/>
    <w:rsid w:val="00CE6D73"/>
    <w:rsid w:val="00CE6F10"/>
    <w:rsid w:val="00CE706E"/>
    <w:rsid w:val="00CE7996"/>
    <w:rsid w:val="00CF1394"/>
    <w:rsid w:val="00CF141C"/>
    <w:rsid w:val="00CF1678"/>
    <w:rsid w:val="00CF1F9C"/>
    <w:rsid w:val="00CF23B5"/>
    <w:rsid w:val="00CF24CE"/>
    <w:rsid w:val="00CF29DC"/>
    <w:rsid w:val="00CF3E18"/>
    <w:rsid w:val="00CF5692"/>
    <w:rsid w:val="00CF57B6"/>
    <w:rsid w:val="00CF5DDE"/>
    <w:rsid w:val="00CF623C"/>
    <w:rsid w:val="00CF7DD5"/>
    <w:rsid w:val="00D007F9"/>
    <w:rsid w:val="00D00DE5"/>
    <w:rsid w:val="00D00F88"/>
    <w:rsid w:val="00D012E4"/>
    <w:rsid w:val="00D01AE0"/>
    <w:rsid w:val="00D01D1E"/>
    <w:rsid w:val="00D01EB5"/>
    <w:rsid w:val="00D01F75"/>
    <w:rsid w:val="00D02008"/>
    <w:rsid w:val="00D0261A"/>
    <w:rsid w:val="00D02F94"/>
    <w:rsid w:val="00D04837"/>
    <w:rsid w:val="00D05595"/>
    <w:rsid w:val="00D05BEA"/>
    <w:rsid w:val="00D05DC1"/>
    <w:rsid w:val="00D05E06"/>
    <w:rsid w:val="00D06028"/>
    <w:rsid w:val="00D100FC"/>
    <w:rsid w:val="00D1060A"/>
    <w:rsid w:val="00D106CB"/>
    <w:rsid w:val="00D11999"/>
    <w:rsid w:val="00D1212F"/>
    <w:rsid w:val="00D12E86"/>
    <w:rsid w:val="00D12E93"/>
    <w:rsid w:val="00D13162"/>
    <w:rsid w:val="00D13250"/>
    <w:rsid w:val="00D142E1"/>
    <w:rsid w:val="00D146D5"/>
    <w:rsid w:val="00D14E98"/>
    <w:rsid w:val="00D15EE0"/>
    <w:rsid w:val="00D17034"/>
    <w:rsid w:val="00D2190F"/>
    <w:rsid w:val="00D22DA7"/>
    <w:rsid w:val="00D22F35"/>
    <w:rsid w:val="00D23B65"/>
    <w:rsid w:val="00D25121"/>
    <w:rsid w:val="00D25B28"/>
    <w:rsid w:val="00D26069"/>
    <w:rsid w:val="00D27145"/>
    <w:rsid w:val="00D27919"/>
    <w:rsid w:val="00D302CC"/>
    <w:rsid w:val="00D3045C"/>
    <w:rsid w:val="00D30A7A"/>
    <w:rsid w:val="00D3263F"/>
    <w:rsid w:val="00D32F9D"/>
    <w:rsid w:val="00D35F7E"/>
    <w:rsid w:val="00D360E7"/>
    <w:rsid w:val="00D363D1"/>
    <w:rsid w:val="00D364AA"/>
    <w:rsid w:val="00D36531"/>
    <w:rsid w:val="00D36AC9"/>
    <w:rsid w:val="00D36B43"/>
    <w:rsid w:val="00D36DCB"/>
    <w:rsid w:val="00D36E92"/>
    <w:rsid w:val="00D37EFE"/>
    <w:rsid w:val="00D4033C"/>
    <w:rsid w:val="00D4106A"/>
    <w:rsid w:val="00D41181"/>
    <w:rsid w:val="00D415E2"/>
    <w:rsid w:val="00D41A35"/>
    <w:rsid w:val="00D42842"/>
    <w:rsid w:val="00D430E4"/>
    <w:rsid w:val="00D4386F"/>
    <w:rsid w:val="00D440EF"/>
    <w:rsid w:val="00D44E31"/>
    <w:rsid w:val="00D44FE5"/>
    <w:rsid w:val="00D45942"/>
    <w:rsid w:val="00D46111"/>
    <w:rsid w:val="00D462F0"/>
    <w:rsid w:val="00D4641C"/>
    <w:rsid w:val="00D466E1"/>
    <w:rsid w:val="00D50AB4"/>
    <w:rsid w:val="00D51155"/>
    <w:rsid w:val="00D51663"/>
    <w:rsid w:val="00D516C4"/>
    <w:rsid w:val="00D516DC"/>
    <w:rsid w:val="00D51CE4"/>
    <w:rsid w:val="00D52C76"/>
    <w:rsid w:val="00D53CA0"/>
    <w:rsid w:val="00D55A06"/>
    <w:rsid w:val="00D55D69"/>
    <w:rsid w:val="00D56449"/>
    <w:rsid w:val="00D564E4"/>
    <w:rsid w:val="00D56DEC"/>
    <w:rsid w:val="00D57EEB"/>
    <w:rsid w:val="00D6047F"/>
    <w:rsid w:val="00D60FD3"/>
    <w:rsid w:val="00D61039"/>
    <w:rsid w:val="00D6129B"/>
    <w:rsid w:val="00D61AED"/>
    <w:rsid w:val="00D62738"/>
    <w:rsid w:val="00D63900"/>
    <w:rsid w:val="00D63DB9"/>
    <w:rsid w:val="00D64796"/>
    <w:rsid w:val="00D64CB7"/>
    <w:rsid w:val="00D6595C"/>
    <w:rsid w:val="00D66667"/>
    <w:rsid w:val="00D66B1D"/>
    <w:rsid w:val="00D67382"/>
    <w:rsid w:val="00D67E97"/>
    <w:rsid w:val="00D67F8F"/>
    <w:rsid w:val="00D70B10"/>
    <w:rsid w:val="00D71159"/>
    <w:rsid w:val="00D726C3"/>
    <w:rsid w:val="00D72C4D"/>
    <w:rsid w:val="00D74217"/>
    <w:rsid w:val="00D7508C"/>
    <w:rsid w:val="00D75A04"/>
    <w:rsid w:val="00D778A4"/>
    <w:rsid w:val="00D77D88"/>
    <w:rsid w:val="00D80614"/>
    <w:rsid w:val="00D80DC9"/>
    <w:rsid w:val="00D8207E"/>
    <w:rsid w:val="00D82C2A"/>
    <w:rsid w:val="00D82D0A"/>
    <w:rsid w:val="00D833B2"/>
    <w:rsid w:val="00D834D7"/>
    <w:rsid w:val="00D83D84"/>
    <w:rsid w:val="00D843F6"/>
    <w:rsid w:val="00D85442"/>
    <w:rsid w:val="00D857C9"/>
    <w:rsid w:val="00D85E2C"/>
    <w:rsid w:val="00D86267"/>
    <w:rsid w:val="00D862F1"/>
    <w:rsid w:val="00D86784"/>
    <w:rsid w:val="00D86C63"/>
    <w:rsid w:val="00D86EBA"/>
    <w:rsid w:val="00D86FB6"/>
    <w:rsid w:val="00D87731"/>
    <w:rsid w:val="00D87A9A"/>
    <w:rsid w:val="00D90D0F"/>
    <w:rsid w:val="00D92283"/>
    <w:rsid w:val="00D922E1"/>
    <w:rsid w:val="00D92B68"/>
    <w:rsid w:val="00D931B8"/>
    <w:rsid w:val="00D94014"/>
    <w:rsid w:val="00D95305"/>
    <w:rsid w:val="00D955B6"/>
    <w:rsid w:val="00D95D56"/>
    <w:rsid w:val="00D963ED"/>
    <w:rsid w:val="00D96DF1"/>
    <w:rsid w:val="00DA02F7"/>
    <w:rsid w:val="00DA052A"/>
    <w:rsid w:val="00DA1F19"/>
    <w:rsid w:val="00DA2EAA"/>
    <w:rsid w:val="00DA2EFB"/>
    <w:rsid w:val="00DA3486"/>
    <w:rsid w:val="00DA41C0"/>
    <w:rsid w:val="00DA5EEF"/>
    <w:rsid w:val="00DA7D75"/>
    <w:rsid w:val="00DB05EF"/>
    <w:rsid w:val="00DB1C17"/>
    <w:rsid w:val="00DB2577"/>
    <w:rsid w:val="00DB27C0"/>
    <w:rsid w:val="00DB2A47"/>
    <w:rsid w:val="00DB337B"/>
    <w:rsid w:val="00DB3776"/>
    <w:rsid w:val="00DB3F24"/>
    <w:rsid w:val="00DB5113"/>
    <w:rsid w:val="00DB5673"/>
    <w:rsid w:val="00DB59F1"/>
    <w:rsid w:val="00DB64AB"/>
    <w:rsid w:val="00DB6656"/>
    <w:rsid w:val="00DB7DCB"/>
    <w:rsid w:val="00DC0F24"/>
    <w:rsid w:val="00DC1380"/>
    <w:rsid w:val="00DC1561"/>
    <w:rsid w:val="00DC19E5"/>
    <w:rsid w:val="00DC1B9A"/>
    <w:rsid w:val="00DC2563"/>
    <w:rsid w:val="00DC26E4"/>
    <w:rsid w:val="00DC26F6"/>
    <w:rsid w:val="00DC2848"/>
    <w:rsid w:val="00DC305D"/>
    <w:rsid w:val="00DC4347"/>
    <w:rsid w:val="00DC46FF"/>
    <w:rsid w:val="00DC4C9E"/>
    <w:rsid w:val="00DC5E9F"/>
    <w:rsid w:val="00DC5F8A"/>
    <w:rsid w:val="00DC5FC2"/>
    <w:rsid w:val="00DC6044"/>
    <w:rsid w:val="00DC7106"/>
    <w:rsid w:val="00DC7B56"/>
    <w:rsid w:val="00DC7C9B"/>
    <w:rsid w:val="00DC7D61"/>
    <w:rsid w:val="00DC7DF8"/>
    <w:rsid w:val="00DD0520"/>
    <w:rsid w:val="00DD07E9"/>
    <w:rsid w:val="00DD2EA5"/>
    <w:rsid w:val="00DD30FD"/>
    <w:rsid w:val="00DD3433"/>
    <w:rsid w:val="00DD348F"/>
    <w:rsid w:val="00DD3705"/>
    <w:rsid w:val="00DD4080"/>
    <w:rsid w:val="00DD43EB"/>
    <w:rsid w:val="00DD5887"/>
    <w:rsid w:val="00DD69A8"/>
    <w:rsid w:val="00DD798B"/>
    <w:rsid w:val="00DD7C95"/>
    <w:rsid w:val="00DE05DE"/>
    <w:rsid w:val="00DE26F9"/>
    <w:rsid w:val="00DE3607"/>
    <w:rsid w:val="00DE5022"/>
    <w:rsid w:val="00DE556F"/>
    <w:rsid w:val="00DE6D08"/>
    <w:rsid w:val="00DF0F15"/>
    <w:rsid w:val="00DF15C1"/>
    <w:rsid w:val="00DF1FEA"/>
    <w:rsid w:val="00DF24B5"/>
    <w:rsid w:val="00DF3078"/>
    <w:rsid w:val="00DF31F7"/>
    <w:rsid w:val="00DF38A2"/>
    <w:rsid w:val="00DF3F02"/>
    <w:rsid w:val="00DF453B"/>
    <w:rsid w:val="00DF567A"/>
    <w:rsid w:val="00DF5D90"/>
    <w:rsid w:val="00DF6601"/>
    <w:rsid w:val="00DF709F"/>
    <w:rsid w:val="00DF73D9"/>
    <w:rsid w:val="00DF777C"/>
    <w:rsid w:val="00E008B8"/>
    <w:rsid w:val="00E01653"/>
    <w:rsid w:val="00E0203C"/>
    <w:rsid w:val="00E024B9"/>
    <w:rsid w:val="00E040C9"/>
    <w:rsid w:val="00E0498E"/>
    <w:rsid w:val="00E05B71"/>
    <w:rsid w:val="00E0613C"/>
    <w:rsid w:val="00E07C50"/>
    <w:rsid w:val="00E07C74"/>
    <w:rsid w:val="00E100BA"/>
    <w:rsid w:val="00E121F8"/>
    <w:rsid w:val="00E12411"/>
    <w:rsid w:val="00E124B0"/>
    <w:rsid w:val="00E1338F"/>
    <w:rsid w:val="00E133DE"/>
    <w:rsid w:val="00E14771"/>
    <w:rsid w:val="00E156A6"/>
    <w:rsid w:val="00E162C5"/>
    <w:rsid w:val="00E1630F"/>
    <w:rsid w:val="00E1645F"/>
    <w:rsid w:val="00E16D0F"/>
    <w:rsid w:val="00E171D2"/>
    <w:rsid w:val="00E17D54"/>
    <w:rsid w:val="00E21259"/>
    <w:rsid w:val="00E24D47"/>
    <w:rsid w:val="00E24DC2"/>
    <w:rsid w:val="00E251A8"/>
    <w:rsid w:val="00E2567D"/>
    <w:rsid w:val="00E25DCC"/>
    <w:rsid w:val="00E26271"/>
    <w:rsid w:val="00E26BA7"/>
    <w:rsid w:val="00E27224"/>
    <w:rsid w:val="00E309F2"/>
    <w:rsid w:val="00E30E65"/>
    <w:rsid w:val="00E311D0"/>
    <w:rsid w:val="00E31F45"/>
    <w:rsid w:val="00E34864"/>
    <w:rsid w:val="00E34D29"/>
    <w:rsid w:val="00E35522"/>
    <w:rsid w:val="00E355D9"/>
    <w:rsid w:val="00E3563A"/>
    <w:rsid w:val="00E35DD4"/>
    <w:rsid w:val="00E36599"/>
    <w:rsid w:val="00E36968"/>
    <w:rsid w:val="00E402B8"/>
    <w:rsid w:val="00E4053F"/>
    <w:rsid w:val="00E40CA4"/>
    <w:rsid w:val="00E41834"/>
    <w:rsid w:val="00E41A80"/>
    <w:rsid w:val="00E42EFE"/>
    <w:rsid w:val="00E43059"/>
    <w:rsid w:val="00E4311A"/>
    <w:rsid w:val="00E432E9"/>
    <w:rsid w:val="00E45305"/>
    <w:rsid w:val="00E4547C"/>
    <w:rsid w:val="00E460EB"/>
    <w:rsid w:val="00E470D8"/>
    <w:rsid w:val="00E47687"/>
    <w:rsid w:val="00E4787C"/>
    <w:rsid w:val="00E47F60"/>
    <w:rsid w:val="00E47F9F"/>
    <w:rsid w:val="00E501AE"/>
    <w:rsid w:val="00E504BE"/>
    <w:rsid w:val="00E515FD"/>
    <w:rsid w:val="00E52758"/>
    <w:rsid w:val="00E52D30"/>
    <w:rsid w:val="00E5376A"/>
    <w:rsid w:val="00E53C9C"/>
    <w:rsid w:val="00E566FB"/>
    <w:rsid w:val="00E56B81"/>
    <w:rsid w:val="00E56ECC"/>
    <w:rsid w:val="00E56FBC"/>
    <w:rsid w:val="00E571AD"/>
    <w:rsid w:val="00E57AD2"/>
    <w:rsid w:val="00E60966"/>
    <w:rsid w:val="00E60E86"/>
    <w:rsid w:val="00E6150D"/>
    <w:rsid w:val="00E6156F"/>
    <w:rsid w:val="00E626E1"/>
    <w:rsid w:val="00E6283E"/>
    <w:rsid w:val="00E62EE2"/>
    <w:rsid w:val="00E63F1D"/>
    <w:rsid w:val="00E64519"/>
    <w:rsid w:val="00E6473D"/>
    <w:rsid w:val="00E6487B"/>
    <w:rsid w:val="00E651E2"/>
    <w:rsid w:val="00E65876"/>
    <w:rsid w:val="00E65AC3"/>
    <w:rsid w:val="00E67848"/>
    <w:rsid w:val="00E67CB0"/>
    <w:rsid w:val="00E71624"/>
    <w:rsid w:val="00E719C1"/>
    <w:rsid w:val="00E71E41"/>
    <w:rsid w:val="00E72502"/>
    <w:rsid w:val="00E7263E"/>
    <w:rsid w:val="00E72ACF"/>
    <w:rsid w:val="00E7458D"/>
    <w:rsid w:val="00E7465A"/>
    <w:rsid w:val="00E752FF"/>
    <w:rsid w:val="00E75430"/>
    <w:rsid w:val="00E773E1"/>
    <w:rsid w:val="00E817FC"/>
    <w:rsid w:val="00E81D39"/>
    <w:rsid w:val="00E820B6"/>
    <w:rsid w:val="00E821FF"/>
    <w:rsid w:val="00E830E3"/>
    <w:rsid w:val="00E8317D"/>
    <w:rsid w:val="00E834A3"/>
    <w:rsid w:val="00E838DA"/>
    <w:rsid w:val="00E841DE"/>
    <w:rsid w:val="00E855DE"/>
    <w:rsid w:val="00E857A5"/>
    <w:rsid w:val="00E85837"/>
    <w:rsid w:val="00E85BFA"/>
    <w:rsid w:val="00E86E20"/>
    <w:rsid w:val="00E870D3"/>
    <w:rsid w:val="00E87633"/>
    <w:rsid w:val="00E8774C"/>
    <w:rsid w:val="00E9087D"/>
    <w:rsid w:val="00E90E1E"/>
    <w:rsid w:val="00E91361"/>
    <w:rsid w:val="00E91A3F"/>
    <w:rsid w:val="00E921B2"/>
    <w:rsid w:val="00E9270C"/>
    <w:rsid w:val="00E94EFB"/>
    <w:rsid w:val="00E95014"/>
    <w:rsid w:val="00E95370"/>
    <w:rsid w:val="00E97278"/>
    <w:rsid w:val="00E97B66"/>
    <w:rsid w:val="00EA0B3A"/>
    <w:rsid w:val="00EA13EA"/>
    <w:rsid w:val="00EA1527"/>
    <w:rsid w:val="00EA1B99"/>
    <w:rsid w:val="00EA29DD"/>
    <w:rsid w:val="00EA2A47"/>
    <w:rsid w:val="00EA37F8"/>
    <w:rsid w:val="00EA44C8"/>
    <w:rsid w:val="00EA61C6"/>
    <w:rsid w:val="00EA61C7"/>
    <w:rsid w:val="00EA7277"/>
    <w:rsid w:val="00EB03AC"/>
    <w:rsid w:val="00EB04F9"/>
    <w:rsid w:val="00EB071D"/>
    <w:rsid w:val="00EB1888"/>
    <w:rsid w:val="00EB1E3A"/>
    <w:rsid w:val="00EB1E3C"/>
    <w:rsid w:val="00EB2D42"/>
    <w:rsid w:val="00EB4C8B"/>
    <w:rsid w:val="00EB4D46"/>
    <w:rsid w:val="00EB5559"/>
    <w:rsid w:val="00EB59DB"/>
    <w:rsid w:val="00EB5B82"/>
    <w:rsid w:val="00EB5C23"/>
    <w:rsid w:val="00EB67A4"/>
    <w:rsid w:val="00EC02BB"/>
    <w:rsid w:val="00EC0F5F"/>
    <w:rsid w:val="00EC293E"/>
    <w:rsid w:val="00EC2E5D"/>
    <w:rsid w:val="00EC35B5"/>
    <w:rsid w:val="00EC35DA"/>
    <w:rsid w:val="00EC3685"/>
    <w:rsid w:val="00EC3F6C"/>
    <w:rsid w:val="00EC4DE8"/>
    <w:rsid w:val="00EC5533"/>
    <w:rsid w:val="00EC62E5"/>
    <w:rsid w:val="00EC7089"/>
    <w:rsid w:val="00EC78CF"/>
    <w:rsid w:val="00EC7A4A"/>
    <w:rsid w:val="00EC7B26"/>
    <w:rsid w:val="00EC7B3E"/>
    <w:rsid w:val="00EC7E96"/>
    <w:rsid w:val="00EC7F77"/>
    <w:rsid w:val="00ED1226"/>
    <w:rsid w:val="00ED12FD"/>
    <w:rsid w:val="00ED1C7D"/>
    <w:rsid w:val="00ED1EFE"/>
    <w:rsid w:val="00ED222C"/>
    <w:rsid w:val="00ED30D5"/>
    <w:rsid w:val="00ED314C"/>
    <w:rsid w:val="00ED32EC"/>
    <w:rsid w:val="00ED3B6A"/>
    <w:rsid w:val="00ED4479"/>
    <w:rsid w:val="00ED4978"/>
    <w:rsid w:val="00ED53E3"/>
    <w:rsid w:val="00ED545E"/>
    <w:rsid w:val="00ED5D13"/>
    <w:rsid w:val="00ED6923"/>
    <w:rsid w:val="00ED71F8"/>
    <w:rsid w:val="00ED7455"/>
    <w:rsid w:val="00ED78E8"/>
    <w:rsid w:val="00ED7A2C"/>
    <w:rsid w:val="00ED7E59"/>
    <w:rsid w:val="00ED7F30"/>
    <w:rsid w:val="00EE1C7B"/>
    <w:rsid w:val="00EE2057"/>
    <w:rsid w:val="00EE363D"/>
    <w:rsid w:val="00EE483A"/>
    <w:rsid w:val="00EE4F6C"/>
    <w:rsid w:val="00EE5402"/>
    <w:rsid w:val="00EE5D3A"/>
    <w:rsid w:val="00EE6BD9"/>
    <w:rsid w:val="00EE6DFB"/>
    <w:rsid w:val="00EE7B76"/>
    <w:rsid w:val="00EE7CEE"/>
    <w:rsid w:val="00EF00FF"/>
    <w:rsid w:val="00EF0900"/>
    <w:rsid w:val="00EF193A"/>
    <w:rsid w:val="00EF1BDA"/>
    <w:rsid w:val="00EF1BE8"/>
    <w:rsid w:val="00EF1FAC"/>
    <w:rsid w:val="00EF254A"/>
    <w:rsid w:val="00EF298E"/>
    <w:rsid w:val="00EF2AC1"/>
    <w:rsid w:val="00EF2B45"/>
    <w:rsid w:val="00EF33B0"/>
    <w:rsid w:val="00EF351C"/>
    <w:rsid w:val="00EF3BCD"/>
    <w:rsid w:val="00EF4A8B"/>
    <w:rsid w:val="00EF4C2B"/>
    <w:rsid w:val="00EF4C70"/>
    <w:rsid w:val="00EF4D55"/>
    <w:rsid w:val="00EF4DF5"/>
    <w:rsid w:val="00EF56A4"/>
    <w:rsid w:val="00EF6688"/>
    <w:rsid w:val="00EF6D2F"/>
    <w:rsid w:val="00EF6EAE"/>
    <w:rsid w:val="00F000D8"/>
    <w:rsid w:val="00F001C4"/>
    <w:rsid w:val="00F00DBD"/>
    <w:rsid w:val="00F0161D"/>
    <w:rsid w:val="00F02AD4"/>
    <w:rsid w:val="00F02E77"/>
    <w:rsid w:val="00F0314E"/>
    <w:rsid w:val="00F044BD"/>
    <w:rsid w:val="00F04AA9"/>
    <w:rsid w:val="00F04C07"/>
    <w:rsid w:val="00F04C77"/>
    <w:rsid w:val="00F067C5"/>
    <w:rsid w:val="00F06B08"/>
    <w:rsid w:val="00F06DC6"/>
    <w:rsid w:val="00F10208"/>
    <w:rsid w:val="00F10D1C"/>
    <w:rsid w:val="00F146F6"/>
    <w:rsid w:val="00F1481A"/>
    <w:rsid w:val="00F148F1"/>
    <w:rsid w:val="00F14F84"/>
    <w:rsid w:val="00F158AB"/>
    <w:rsid w:val="00F168D8"/>
    <w:rsid w:val="00F16CBF"/>
    <w:rsid w:val="00F17842"/>
    <w:rsid w:val="00F17AE0"/>
    <w:rsid w:val="00F20854"/>
    <w:rsid w:val="00F20BAD"/>
    <w:rsid w:val="00F21006"/>
    <w:rsid w:val="00F22E52"/>
    <w:rsid w:val="00F22E73"/>
    <w:rsid w:val="00F24862"/>
    <w:rsid w:val="00F258B8"/>
    <w:rsid w:val="00F266D5"/>
    <w:rsid w:val="00F267DB"/>
    <w:rsid w:val="00F2742D"/>
    <w:rsid w:val="00F27D2A"/>
    <w:rsid w:val="00F30CC6"/>
    <w:rsid w:val="00F314E4"/>
    <w:rsid w:val="00F3183E"/>
    <w:rsid w:val="00F32178"/>
    <w:rsid w:val="00F326B5"/>
    <w:rsid w:val="00F32940"/>
    <w:rsid w:val="00F32A61"/>
    <w:rsid w:val="00F32F09"/>
    <w:rsid w:val="00F33432"/>
    <w:rsid w:val="00F338F6"/>
    <w:rsid w:val="00F34E4E"/>
    <w:rsid w:val="00F356EA"/>
    <w:rsid w:val="00F371DB"/>
    <w:rsid w:val="00F37B0C"/>
    <w:rsid w:val="00F402EA"/>
    <w:rsid w:val="00F409CA"/>
    <w:rsid w:val="00F40F85"/>
    <w:rsid w:val="00F41240"/>
    <w:rsid w:val="00F424A9"/>
    <w:rsid w:val="00F42E51"/>
    <w:rsid w:val="00F43CB0"/>
    <w:rsid w:val="00F44A1E"/>
    <w:rsid w:val="00F44B3D"/>
    <w:rsid w:val="00F45418"/>
    <w:rsid w:val="00F45BA7"/>
    <w:rsid w:val="00F4625B"/>
    <w:rsid w:val="00F468ED"/>
    <w:rsid w:val="00F47618"/>
    <w:rsid w:val="00F47EDC"/>
    <w:rsid w:val="00F50628"/>
    <w:rsid w:val="00F50BD0"/>
    <w:rsid w:val="00F50D6E"/>
    <w:rsid w:val="00F515E9"/>
    <w:rsid w:val="00F52D9F"/>
    <w:rsid w:val="00F5441C"/>
    <w:rsid w:val="00F54777"/>
    <w:rsid w:val="00F54E0F"/>
    <w:rsid w:val="00F55BDF"/>
    <w:rsid w:val="00F56F61"/>
    <w:rsid w:val="00F57C55"/>
    <w:rsid w:val="00F60C08"/>
    <w:rsid w:val="00F60EFA"/>
    <w:rsid w:val="00F6108A"/>
    <w:rsid w:val="00F61C64"/>
    <w:rsid w:val="00F63926"/>
    <w:rsid w:val="00F63958"/>
    <w:rsid w:val="00F64C5C"/>
    <w:rsid w:val="00F6642F"/>
    <w:rsid w:val="00F6736F"/>
    <w:rsid w:val="00F6783F"/>
    <w:rsid w:val="00F7034F"/>
    <w:rsid w:val="00F703F6"/>
    <w:rsid w:val="00F7040B"/>
    <w:rsid w:val="00F70561"/>
    <w:rsid w:val="00F70E22"/>
    <w:rsid w:val="00F71376"/>
    <w:rsid w:val="00F71B80"/>
    <w:rsid w:val="00F71FB7"/>
    <w:rsid w:val="00F72346"/>
    <w:rsid w:val="00F730AD"/>
    <w:rsid w:val="00F73AFD"/>
    <w:rsid w:val="00F741E5"/>
    <w:rsid w:val="00F74785"/>
    <w:rsid w:val="00F757CE"/>
    <w:rsid w:val="00F758B8"/>
    <w:rsid w:val="00F759CD"/>
    <w:rsid w:val="00F76910"/>
    <w:rsid w:val="00F76BF2"/>
    <w:rsid w:val="00F76F39"/>
    <w:rsid w:val="00F801ED"/>
    <w:rsid w:val="00F8044E"/>
    <w:rsid w:val="00F80B42"/>
    <w:rsid w:val="00F8107B"/>
    <w:rsid w:val="00F81B2B"/>
    <w:rsid w:val="00F81F08"/>
    <w:rsid w:val="00F81F5A"/>
    <w:rsid w:val="00F81F7D"/>
    <w:rsid w:val="00F82647"/>
    <w:rsid w:val="00F8318F"/>
    <w:rsid w:val="00F83532"/>
    <w:rsid w:val="00F838A6"/>
    <w:rsid w:val="00F83917"/>
    <w:rsid w:val="00F83C08"/>
    <w:rsid w:val="00F85C52"/>
    <w:rsid w:val="00F85D25"/>
    <w:rsid w:val="00F86079"/>
    <w:rsid w:val="00F86A9B"/>
    <w:rsid w:val="00F86AD3"/>
    <w:rsid w:val="00F877E3"/>
    <w:rsid w:val="00F91B32"/>
    <w:rsid w:val="00F91E61"/>
    <w:rsid w:val="00F929D8"/>
    <w:rsid w:val="00F92DA9"/>
    <w:rsid w:val="00F935C1"/>
    <w:rsid w:val="00F938A5"/>
    <w:rsid w:val="00F944CB"/>
    <w:rsid w:val="00F94E7C"/>
    <w:rsid w:val="00F95FF7"/>
    <w:rsid w:val="00F96913"/>
    <w:rsid w:val="00F9728B"/>
    <w:rsid w:val="00FA02D9"/>
    <w:rsid w:val="00FA1739"/>
    <w:rsid w:val="00FA17A6"/>
    <w:rsid w:val="00FA1EE2"/>
    <w:rsid w:val="00FA2240"/>
    <w:rsid w:val="00FA2569"/>
    <w:rsid w:val="00FA2BC2"/>
    <w:rsid w:val="00FA2F89"/>
    <w:rsid w:val="00FA318B"/>
    <w:rsid w:val="00FA3974"/>
    <w:rsid w:val="00FA51E5"/>
    <w:rsid w:val="00FA5FFC"/>
    <w:rsid w:val="00FA6FE2"/>
    <w:rsid w:val="00FA703B"/>
    <w:rsid w:val="00FA70EB"/>
    <w:rsid w:val="00FB1688"/>
    <w:rsid w:val="00FB1AC1"/>
    <w:rsid w:val="00FB2B77"/>
    <w:rsid w:val="00FB4D58"/>
    <w:rsid w:val="00FB5F5D"/>
    <w:rsid w:val="00FB5F95"/>
    <w:rsid w:val="00FB63FA"/>
    <w:rsid w:val="00FB6841"/>
    <w:rsid w:val="00FB6FB0"/>
    <w:rsid w:val="00FB7A1E"/>
    <w:rsid w:val="00FC0B68"/>
    <w:rsid w:val="00FC0BB3"/>
    <w:rsid w:val="00FC17BD"/>
    <w:rsid w:val="00FC1DA1"/>
    <w:rsid w:val="00FC225E"/>
    <w:rsid w:val="00FC2624"/>
    <w:rsid w:val="00FC27DC"/>
    <w:rsid w:val="00FC28BD"/>
    <w:rsid w:val="00FC2E66"/>
    <w:rsid w:val="00FC2FDB"/>
    <w:rsid w:val="00FC3BE5"/>
    <w:rsid w:val="00FC475A"/>
    <w:rsid w:val="00FC49AB"/>
    <w:rsid w:val="00FC4A04"/>
    <w:rsid w:val="00FC4A55"/>
    <w:rsid w:val="00FC603A"/>
    <w:rsid w:val="00FC69C8"/>
    <w:rsid w:val="00FC7274"/>
    <w:rsid w:val="00FC728C"/>
    <w:rsid w:val="00FC736A"/>
    <w:rsid w:val="00FC7FD2"/>
    <w:rsid w:val="00FD013A"/>
    <w:rsid w:val="00FD0313"/>
    <w:rsid w:val="00FD0B2B"/>
    <w:rsid w:val="00FD10AF"/>
    <w:rsid w:val="00FD227E"/>
    <w:rsid w:val="00FD2392"/>
    <w:rsid w:val="00FD2422"/>
    <w:rsid w:val="00FD393F"/>
    <w:rsid w:val="00FD435A"/>
    <w:rsid w:val="00FD457F"/>
    <w:rsid w:val="00FD4810"/>
    <w:rsid w:val="00FD5156"/>
    <w:rsid w:val="00FD5276"/>
    <w:rsid w:val="00FD6151"/>
    <w:rsid w:val="00FD679E"/>
    <w:rsid w:val="00FD6A49"/>
    <w:rsid w:val="00FD6A84"/>
    <w:rsid w:val="00FD6AAE"/>
    <w:rsid w:val="00FD7108"/>
    <w:rsid w:val="00FD745E"/>
    <w:rsid w:val="00FE0679"/>
    <w:rsid w:val="00FE0769"/>
    <w:rsid w:val="00FE2987"/>
    <w:rsid w:val="00FE2ADD"/>
    <w:rsid w:val="00FE334C"/>
    <w:rsid w:val="00FE347F"/>
    <w:rsid w:val="00FE374D"/>
    <w:rsid w:val="00FE3914"/>
    <w:rsid w:val="00FE4644"/>
    <w:rsid w:val="00FE4B4C"/>
    <w:rsid w:val="00FE4B74"/>
    <w:rsid w:val="00FE4EB6"/>
    <w:rsid w:val="00FE6910"/>
    <w:rsid w:val="00FE7BFE"/>
    <w:rsid w:val="00FF0677"/>
    <w:rsid w:val="00FF258A"/>
    <w:rsid w:val="00FF2BB2"/>
    <w:rsid w:val="00FF2D03"/>
    <w:rsid w:val="00FF4D9D"/>
    <w:rsid w:val="00FF5EA2"/>
    <w:rsid w:val="00FF6180"/>
    <w:rsid w:val="00FF695F"/>
    <w:rsid w:val="00FF776A"/>
    <w:rsid w:val="00FF79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73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E8C"/>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2"/>
    <w:uiPriority w:val="1"/>
    <w:qFormat/>
    <w:rsid w:val="001C4180"/>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2"/>
    <w:uiPriority w:val="2"/>
    <w:qFormat/>
    <w:rsid w:val="001C4180"/>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2"/>
    <w:uiPriority w:val="3"/>
    <w:qFormat/>
    <w:rsid w:val="001C4180"/>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1C4180"/>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1C4180"/>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1C4180"/>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1C4180"/>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1C4180"/>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1C4180"/>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2B2E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2E8C"/>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BesediloUMAR"/>
    <w:link w:val="FootnoteTextChar2"/>
    <w:autoRedefine/>
    <w:uiPriority w:val="8"/>
    <w:qFormat/>
    <w:rsid w:val="001C4180"/>
    <w:rPr>
      <w:sz w:val="16"/>
      <w:szCs w:val="14"/>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uiPriority w:val="8"/>
    <w:rsid w:val="005D0C2A"/>
    <w:rPr>
      <w:rFonts w:ascii="Myriad Pro" w:eastAsiaTheme="minorHAnsi" w:hAnsi="Myriad Pro" w:cstheme="minorBidi"/>
      <w:sz w:val="16"/>
      <w:szCs w:val="14"/>
      <w:lang w:eastAsia="en-US"/>
    </w:rPr>
  </w:style>
  <w:style w:type="character" w:styleId="FootnoteReference">
    <w:name w:val="footnote reference"/>
    <w:aliases w:val="footnote_EO,Footnote symbol,Fussnota,Footnote,Footnote reference number,Times 10 Point,Exposant 3 Point,EN Footnote Reference,note TESI,E...,nota de rodapé,Footnote Reference_LVL6,Footnote Reference_LVL61,Footnote Reference_LVL62"/>
    <w:basedOn w:val="DefaultParagraphFont"/>
    <w:uiPriority w:val="8"/>
    <w:rsid w:val="001C4180"/>
    <w:rPr>
      <w:rFonts w:ascii="Myriad Pro" w:hAnsi="Myriad Pro"/>
      <w:sz w:val="18"/>
      <w:vertAlign w:val="superscript"/>
    </w:rPr>
  </w:style>
  <w:style w:type="paragraph" w:styleId="Caption">
    <w:name w:val="caption"/>
    <w:aliases w:val="Okvir/Slika/Tabela_UMAR"/>
    <w:basedOn w:val="TableofFigures"/>
    <w:next w:val="BesediloUMAR"/>
    <w:link w:val="CaptionChar2"/>
    <w:uiPriority w:val="4"/>
    <w:qFormat/>
    <w:rsid w:val="001C4180"/>
    <w:pPr>
      <w:keepNext/>
      <w:keepLines/>
      <w:spacing w:before="240" w:after="60"/>
      <w:contextualSpacing/>
    </w:pPr>
    <w:rPr>
      <w:b/>
      <w:bCs/>
    </w:rPr>
  </w:style>
  <w:style w:type="paragraph" w:styleId="Footer">
    <w:name w:val="footer"/>
    <w:basedOn w:val="Normal"/>
    <w:next w:val="Normal"/>
    <w:link w:val="FooterChar2"/>
    <w:autoRedefine/>
    <w:uiPriority w:val="99"/>
    <w:rsid w:val="001C4180"/>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1C4180"/>
    <w:pPr>
      <w:tabs>
        <w:tab w:val="right" w:leader="dot" w:pos="9070"/>
      </w:tabs>
    </w:pPr>
    <w:rPr>
      <w:noProof/>
      <w:szCs w:val="20"/>
    </w:rPr>
  </w:style>
  <w:style w:type="paragraph" w:styleId="TableofAuthorities">
    <w:name w:val="table of authorities"/>
    <w:basedOn w:val="Normal"/>
    <w:next w:val="Normal"/>
    <w:semiHidden/>
    <w:rsid w:val="001C4180"/>
    <w:pPr>
      <w:ind w:left="220" w:hanging="220"/>
    </w:pPr>
  </w:style>
  <w:style w:type="paragraph" w:styleId="TOAHeading">
    <w:name w:val="toa heading"/>
    <w:basedOn w:val="Normal"/>
    <w:next w:val="Normal"/>
    <w:semiHidden/>
    <w:rsid w:val="001C4180"/>
    <w:pPr>
      <w:spacing w:before="120"/>
    </w:pPr>
    <w:rPr>
      <w:rFonts w:cs="Arial"/>
      <w:b/>
      <w:bCs/>
    </w:rPr>
  </w:style>
  <w:style w:type="paragraph" w:styleId="TOC1">
    <w:name w:val="toc 1"/>
    <w:basedOn w:val="BesediloUMAR"/>
    <w:next w:val="BesediloUMAR"/>
    <w:autoRedefine/>
    <w:uiPriority w:val="39"/>
    <w:rsid w:val="001C4180"/>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1C4180"/>
    <w:pPr>
      <w:tabs>
        <w:tab w:val="right" w:leader="dot" w:pos="9070"/>
      </w:tabs>
      <w:spacing w:before="100" w:after="100"/>
      <w:ind w:left="340"/>
    </w:pPr>
    <w:rPr>
      <w:noProof/>
    </w:rPr>
  </w:style>
  <w:style w:type="paragraph" w:styleId="TOC3">
    <w:name w:val="toc 3"/>
    <w:next w:val="BesediloUMAR"/>
    <w:autoRedefine/>
    <w:uiPriority w:val="39"/>
    <w:rsid w:val="001C4180"/>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1C4180"/>
    <w:pPr>
      <w:spacing w:after="20"/>
      <w:ind w:left="340"/>
      <w:contextualSpacing/>
    </w:pPr>
  </w:style>
  <w:style w:type="paragraph" w:styleId="TOC5">
    <w:name w:val="toc 5"/>
    <w:basedOn w:val="Normal"/>
    <w:autoRedefine/>
    <w:semiHidden/>
    <w:rsid w:val="001C4180"/>
    <w:pPr>
      <w:spacing w:after="20"/>
      <w:contextualSpacing/>
    </w:pPr>
  </w:style>
  <w:style w:type="paragraph" w:styleId="TOC6">
    <w:name w:val="toc 6"/>
    <w:basedOn w:val="Normal"/>
    <w:next w:val="Normal"/>
    <w:autoRedefine/>
    <w:semiHidden/>
    <w:rsid w:val="001C4180"/>
    <w:pPr>
      <w:ind w:left="1100"/>
    </w:pPr>
  </w:style>
  <w:style w:type="paragraph" w:styleId="TOC7">
    <w:name w:val="toc 7"/>
    <w:basedOn w:val="Normal"/>
    <w:next w:val="Normal"/>
    <w:autoRedefine/>
    <w:semiHidden/>
    <w:rsid w:val="001C4180"/>
    <w:pPr>
      <w:ind w:left="1320"/>
    </w:pPr>
  </w:style>
  <w:style w:type="paragraph" w:styleId="TOC8">
    <w:name w:val="toc 8"/>
    <w:basedOn w:val="Normal"/>
    <w:next w:val="Normal"/>
    <w:autoRedefine/>
    <w:semiHidden/>
    <w:rsid w:val="001C4180"/>
    <w:pPr>
      <w:ind w:left="1540"/>
    </w:pPr>
  </w:style>
  <w:style w:type="paragraph" w:styleId="TOC9">
    <w:name w:val="toc 9"/>
    <w:basedOn w:val="Normal"/>
    <w:next w:val="Normal"/>
    <w:autoRedefine/>
    <w:semiHidden/>
    <w:rsid w:val="001C4180"/>
    <w:pPr>
      <w:ind w:left="1760"/>
    </w:pPr>
  </w:style>
  <w:style w:type="paragraph" w:styleId="CommentText">
    <w:name w:val="annotation text"/>
    <w:basedOn w:val="Normal"/>
    <w:link w:val="CommentTextChar2"/>
    <w:rsid w:val="001C4180"/>
    <w:rPr>
      <w:szCs w:val="20"/>
    </w:rPr>
  </w:style>
  <w:style w:type="character" w:styleId="CommentReference">
    <w:name w:val="annotation reference"/>
    <w:basedOn w:val="DefaultParagraphFont"/>
    <w:semiHidden/>
    <w:rsid w:val="001C4180"/>
    <w:rPr>
      <w:sz w:val="16"/>
      <w:szCs w:val="16"/>
    </w:rPr>
  </w:style>
  <w:style w:type="paragraph" w:styleId="EndnoteText">
    <w:name w:val="endnote text"/>
    <w:basedOn w:val="Normal"/>
    <w:autoRedefine/>
    <w:semiHidden/>
    <w:rsid w:val="001C4180"/>
    <w:rPr>
      <w:szCs w:val="20"/>
    </w:rPr>
  </w:style>
  <w:style w:type="character" w:styleId="EndnoteReference">
    <w:name w:val="endnote reference"/>
    <w:basedOn w:val="DefaultParagraphFont"/>
    <w:semiHidden/>
    <w:rsid w:val="001C4180"/>
    <w:rPr>
      <w:vertAlign w:val="superscript"/>
    </w:rPr>
  </w:style>
  <w:style w:type="paragraph" w:styleId="MacroText">
    <w:name w:val="macro"/>
    <w:semiHidden/>
    <w:rsid w:val="001C4180"/>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1C4180"/>
    <w:pPr>
      <w:ind w:left="220" w:hanging="220"/>
    </w:pPr>
  </w:style>
  <w:style w:type="paragraph" w:styleId="IndexHeading">
    <w:name w:val="index heading"/>
    <w:basedOn w:val="Normal"/>
    <w:next w:val="Index1"/>
    <w:semiHidden/>
    <w:rsid w:val="001C4180"/>
    <w:rPr>
      <w:rFonts w:cs="Arial"/>
      <w:b/>
      <w:bCs/>
    </w:rPr>
  </w:style>
  <w:style w:type="paragraph" w:styleId="Index2">
    <w:name w:val="index 2"/>
    <w:basedOn w:val="Normal"/>
    <w:next w:val="Normal"/>
    <w:autoRedefine/>
    <w:semiHidden/>
    <w:rsid w:val="001C4180"/>
    <w:pPr>
      <w:ind w:left="440" w:hanging="220"/>
    </w:pPr>
  </w:style>
  <w:style w:type="paragraph" w:styleId="Index3">
    <w:name w:val="index 3"/>
    <w:basedOn w:val="Normal"/>
    <w:next w:val="Normal"/>
    <w:autoRedefine/>
    <w:semiHidden/>
    <w:rsid w:val="001C4180"/>
    <w:pPr>
      <w:ind w:left="660" w:hanging="220"/>
    </w:pPr>
  </w:style>
  <w:style w:type="paragraph" w:styleId="Index4">
    <w:name w:val="index 4"/>
    <w:basedOn w:val="Normal"/>
    <w:next w:val="Normal"/>
    <w:autoRedefine/>
    <w:semiHidden/>
    <w:rsid w:val="001C4180"/>
    <w:pPr>
      <w:ind w:left="880" w:hanging="220"/>
    </w:pPr>
  </w:style>
  <w:style w:type="paragraph" w:styleId="Index5">
    <w:name w:val="index 5"/>
    <w:basedOn w:val="Normal"/>
    <w:next w:val="Normal"/>
    <w:autoRedefine/>
    <w:semiHidden/>
    <w:rsid w:val="001C4180"/>
    <w:pPr>
      <w:ind w:left="1100" w:hanging="220"/>
    </w:pPr>
  </w:style>
  <w:style w:type="paragraph" w:styleId="Index6">
    <w:name w:val="index 6"/>
    <w:basedOn w:val="Normal"/>
    <w:next w:val="Normal"/>
    <w:autoRedefine/>
    <w:semiHidden/>
    <w:rsid w:val="001C4180"/>
    <w:pPr>
      <w:ind w:left="1320" w:hanging="220"/>
    </w:pPr>
  </w:style>
  <w:style w:type="paragraph" w:styleId="Index7">
    <w:name w:val="index 7"/>
    <w:basedOn w:val="Normal"/>
    <w:next w:val="Normal"/>
    <w:autoRedefine/>
    <w:semiHidden/>
    <w:rsid w:val="001C4180"/>
    <w:pPr>
      <w:ind w:left="1540" w:hanging="220"/>
    </w:pPr>
  </w:style>
  <w:style w:type="paragraph" w:styleId="Index8">
    <w:name w:val="index 8"/>
    <w:basedOn w:val="Normal"/>
    <w:next w:val="Normal"/>
    <w:autoRedefine/>
    <w:semiHidden/>
    <w:rsid w:val="001C4180"/>
    <w:pPr>
      <w:ind w:left="1760" w:hanging="220"/>
    </w:pPr>
  </w:style>
  <w:style w:type="paragraph" w:styleId="Index9">
    <w:name w:val="index 9"/>
    <w:basedOn w:val="Normal"/>
    <w:next w:val="Normal"/>
    <w:autoRedefine/>
    <w:semiHidden/>
    <w:rsid w:val="001C4180"/>
    <w:pPr>
      <w:ind w:left="1980" w:hanging="220"/>
    </w:pPr>
  </w:style>
  <w:style w:type="paragraph" w:styleId="DocumentMap">
    <w:name w:val="Document Map"/>
    <w:basedOn w:val="Normal"/>
    <w:semiHidden/>
    <w:rsid w:val="001C4180"/>
    <w:pPr>
      <w:shd w:val="clear" w:color="auto" w:fill="000080"/>
    </w:pPr>
    <w:rPr>
      <w:rFonts w:ascii="Tahoma" w:hAnsi="Tahoma" w:cs="Tahoma"/>
      <w:szCs w:val="20"/>
    </w:rPr>
  </w:style>
  <w:style w:type="character" w:customStyle="1" w:styleId="VodilnistavekUMAR">
    <w:name w:val="Vodilni stavek_UMAR"/>
    <w:basedOn w:val="DefaultParagraphFont"/>
    <w:qFormat/>
    <w:rsid w:val="001C4180"/>
    <w:rPr>
      <w:b/>
    </w:rPr>
  </w:style>
  <w:style w:type="paragraph" w:styleId="BalloonText">
    <w:name w:val="Balloon Text"/>
    <w:basedOn w:val="Normal"/>
    <w:semiHidden/>
    <w:rsid w:val="001C4180"/>
    <w:rPr>
      <w:rFonts w:ascii="Tahoma" w:hAnsi="Tahoma" w:cs="Tahoma"/>
      <w:sz w:val="16"/>
      <w:szCs w:val="16"/>
    </w:rPr>
  </w:style>
  <w:style w:type="character" w:customStyle="1" w:styleId="HeaderChar">
    <w:name w:val="Header Char"/>
    <w:basedOn w:val="DefaultParagraphFont"/>
    <w:uiPriority w:val="99"/>
    <w:rsid w:val="005D0C2A"/>
    <w:rPr>
      <w:rFonts w:ascii="Myriad Pro" w:eastAsiaTheme="minorHAnsi" w:hAnsi="Myriad Pro" w:cstheme="minorBidi"/>
      <w:sz w:val="22"/>
      <w:szCs w:val="22"/>
      <w:lang w:eastAsia="en-US"/>
    </w:rPr>
  </w:style>
  <w:style w:type="table" w:styleId="TableGrid">
    <w:name w:val="Table Grid"/>
    <w:basedOn w:val="TableNormal"/>
    <w:uiPriority w:val="59"/>
    <w:rsid w:val="001C4180"/>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2"/>
    <w:uiPriority w:val="99"/>
    <w:rsid w:val="001C4180"/>
    <w:pPr>
      <w:tabs>
        <w:tab w:val="center" w:pos="4536"/>
        <w:tab w:val="right" w:pos="9072"/>
      </w:tabs>
    </w:pPr>
    <w:rPr>
      <w:rFonts w:ascii="Myriad Pro" w:hAnsi="Myriad Pro"/>
    </w:rPr>
  </w:style>
  <w:style w:type="character" w:styleId="Hyperlink">
    <w:name w:val="Hyperlink"/>
    <w:basedOn w:val="BesediloUMARChar"/>
    <w:uiPriority w:val="99"/>
    <w:rsid w:val="001C4180"/>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1C4180"/>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uiPriority w:val="3"/>
    <w:rsid w:val="005D0C2A"/>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uiPriority w:val="2"/>
    <w:rsid w:val="005D0C2A"/>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uiPriority w:val="1"/>
    <w:rsid w:val="005D0C2A"/>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1C4180"/>
    <w:rPr>
      <w:color w:val="808080"/>
    </w:rPr>
  </w:style>
  <w:style w:type="character" w:customStyle="1" w:styleId="FooterChar">
    <w:name w:val="Footer Char"/>
    <w:basedOn w:val="DefaultParagraphFont"/>
    <w:uiPriority w:val="99"/>
    <w:rsid w:val="005D0C2A"/>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1C4180"/>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1C4180"/>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1C4180"/>
    <w:pPr>
      <w:spacing w:before="40" w:line="240" w:lineRule="auto"/>
    </w:pPr>
    <w:rPr>
      <w:sz w:val="16"/>
    </w:rPr>
  </w:style>
  <w:style w:type="character" w:customStyle="1" w:styleId="VirUMARChar">
    <w:name w:val="Vir_UMAR Char"/>
    <w:basedOn w:val="DefaultParagraphFont"/>
    <w:link w:val="VirUMAR"/>
    <w:uiPriority w:val="6"/>
    <w:rsid w:val="001C4180"/>
    <w:rPr>
      <w:rFonts w:ascii="Myriad Pro" w:eastAsiaTheme="minorHAnsi" w:hAnsi="Myriad Pro" w:cstheme="minorBidi"/>
      <w:sz w:val="16"/>
      <w:szCs w:val="22"/>
      <w:lang w:eastAsia="en-US"/>
    </w:rPr>
  </w:style>
  <w:style w:type="character" w:customStyle="1" w:styleId="CaptionChar">
    <w:name w:val="Caption Char"/>
    <w:aliases w:val="Okvir/Slika/Tabela_UMAR Char"/>
    <w:basedOn w:val="DefaultParagraphFont"/>
    <w:uiPriority w:val="4"/>
    <w:rsid w:val="005D0C2A"/>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1C4180"/>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1C4180"/>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1C4180"/>
    <w:pPr>
      <w:jc w:val="left"/>
    </w:pPr>
  </w:style>
  <w:style w:type="paragraph" w:customStyle="1" w:styleId="TabelalevoUMAR">
    <w:name w:val="Tabela levo_UMAR"/>
    <w:basedOn w:val="TabelaglavalevoUMAR"/>
    <w:link w:val="TabelalevoUMARChar"/>
    <w:uiPriority w:val="5"/>
    <w:qFormat/>
    <w:rsid w:val="001C4180"/>
    <w:rPr>
      <w:b w:val="0"/>
    </w:rPr>
  </w:style>
  <w:style w:type="character" w:customStyle="1" w:styleId="TabelaglavalevoUMARChar">
    <w:name w:val="Tabela glava levo_UMAR Char"/>
    <w:basedOn w:val="TabelaglavadesnoUMARChar"/>
    <w:link w:val="TabelaglavalevoUMAR"/>
    <w:uiPriority w:val="5"/>
    <w:rsid w:val="001C4180"/>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1C4180"/>
    <w:rPr>
      <w:b w:val="0"/>
    </w:rPr>
  </w:style>
  <w:style w:type="character" w:customStyle="1" w:styleId="TabelalevoUMARChar">
    <w:name w:val="Tabela levo_UMAR Char"/>
    <w:basedOn w:val="TabelaglavalevoUMARChar"/>
    <w:link w:val="TabelalevoUMAR"/>
    <w:uiPriority w:val="5"/>
    <w:rsid w:val="001C4180"/>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1C4180"/>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1C4180"/>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1C4180"/>
  </w:style>
  <w:style w:type="character" w:customStyle="1" w:styleId="NaslovnicanaslovUMARChar">
    <w:name w:val="Naslovnica_naslov_UMAR Char"/>
    <w:basedOn w:val="DefaultParagraphFont"/>
    <w:link w:val="NaslovnicanaslovUMAR"/>
    <w:uiPriority w:val="99"/>
    <w:rsid w:val="001C4180"/>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1C4180"/>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1C41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41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41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41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41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C41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C4180"/>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2"/>
    <w:semiHidden/>
    <w:unhideWhenUsed/>
    <w:rsid w:val="001C4180"/>
    <w:pPr>
      <w:spacing w:line="240" w:lineRule="auto"/>
    </w:pPr>
    <w:rPr>
      <w:b/>
      <w:bCs/>
    </w:rPr>
  </w:style>
  <w:style w:type="character" w:customStyle="1" w:styleId="CommentTextChar">
    <w:name w:val="Comment Text Char"/>
    <w:basedOn w:val="DefaultParagraphFont"/>
    <w:rsid w:val="005D0C2A"/>
    <w:rPr>
      <w:rFonts w:asciiTheme="minorHAnsi" w:eastAsiaTheme="minorHAnsi" w:hAnsiTheme="minorHAnsi" w:cstheme="minorBidi"/>
      <w:sz w:val="22"/>
      <w:lang w:eastAsia="en-US"/>
    </w:rPr>
  </w:style>
  <w:style w:type="character" w:customStyle="1" w:styleId="CommentSubjectChar">
    <w:name w:val="Comment Subject Char"/>
    <w:basedOn w:val="CommentTextChar"/>
    <w:semiHidden/>
    <w:rsid w:val="005D0C2A"/>
    <w:rPr>
      <w:rFonts w:asciiTheme="minorHAnsi" w:eastAsiaTheme="minorHAnsi" w:hAnsiTheme="minorHAnsi" w:cstheme="minorBidi"/>
      <w:b/>
      <w:bCs/>
      <w:sz w:val="22"/>
      <w:lang w:eastAsia="en-US"/>
    </w:rPr>
  </w:style>
  <w:style w:type="table" w:customStyle="1" w:styleId="UMARokvir">
    <w:name w:val="UMAR okvir"/>
    <w:basedOn w:val="TableNormal"/>
    <w:uiPriority w:val="99"/>
    <w:rsid w:val="001C4180"/>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1C4180"/>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1C4180"/>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1C4180"/>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1C4180"/>
    <w:pPr>
      <w:spacing w:before="80"/>
      <w:ind w:left="340" w:hanging="340"/>
      <w:jc w:val="left"/>
    </w:pPr>
  </w:style>
  <w:style w:type="character" w:customStyle="1" w:styleId="LiteraturaUMARChar">
    <w:name w:val="Literatura_UMAR Char"/>
    <w:basedOn w:val="BesediloUMARChar"/>
    <w:link w:val="LiteraturaUMAR"/>
    <w:uiPriority w:val="7"/>
    <w:rsid w:val="001C4180"/>
    <w:rPr>
      <w:rFonts w:ascii="Myriad Pro" w:eastAsiaTheme="minorHAnsi" w:hAnsi="Myriad Pro" w:cstheme="minorBidi"/>
      <w:szCs w:val="22"/>
      <w:lang w:eastAsia="en-US"/>
    </w:rPr>
  </w:style>
  <w:style w:type="paragraph" w:customStyle="1" w:styleId="VirOpombaPOR">
    <w:name w:val="Vir/Opomba_POR"/>
    <w:basedOn w:val="Normal"/>
    <w:link w:val="VirOpombaPORChar"/>
    <w:uiPriority w:val="7"/>
    <w:qFormat/>
    <w:rsid w:val="00F424A9"/>
    <w:pPr>
      <w:spacing w:before="40" w:after="0" w:line="240" w:lineRule="auto"/>
      <w:jc w:val="both"/>
    </w:pPr>
    <w:rPr>
      <w:rFonts w:ascii="Myriad Pro" w:eastAsia="Calibri" w:hAnsi="Myriad Pro" w:cs="Times New Roman"/>
      <w:noProof/>
      <w:sz w:val="14"/>
      <w:szCs w:val="14"/>
    </w:rPr>
  </w:style>
  <w:style w:type="character" w:customStyle="1" w:styleId="VirOpombaPORChar">
    <w:name w:val="Vir/Opomba_POR Char"/>
    <w:link w:val="VirOpombaPOR"/>
    <w:uiPriority w:val="7"/>
    <w:rsid w:val="00F424A9"/>
    <w:rPr>
      <w:rFonts w:ascii="Myriad Pro" w:eastAsia="Calibri" w:hAnsi="Myriad Pro"/>
      <w:noProof/>
      <w:sz w:val="14"/>
      <w:szCs w:val="14"/>
      <w:lang w:eastAsia="en-US"/>
    </w:rPr>
  </w:style>
  <w:style w:type="character" w:styleId="UnresolvedMention">
    <w:name w:val="Unresolved Mention"/>
    <w:basedOn w:val="DefaultParagraphFont"/>
    <w:uiPriority w:val="99"/>
    <w:semiHidden/>
    <w:unhideWhenUsed/>
    <w:rsid w:val="00C272C0"/>
    <w:rPr>
      <w:color w:val="605E5C"/>
      <w:shd w:val="clear" w:color="auto" w:fill="E1DFDD"/>
    </w:rPr>
  </w:style>
  <w:style w:type="paragraph" w:customStyle="1" w:styleId="TekstEO">
    <w:name w:val="Tekst_EO"/>
    <w:basedOn w:val="Normal"/>
    <w:link w:val="TekstEOChar"/>
    <w:qFormat/>
    <w:rsid w:val="00F44B3D"/>
    <w:pPr>
      <w:spacing w:after="0" w:line="240" w:lineRule="auto"/>
      <w:jc w:val="both"/>
    </w:pPr>
    <w:rPr>
      <w:rFonts w:ascii="Myriad Pro" w:eastAsia="Times New Roman" w:hAnsi="Myriad Pro" w:cs="Times New Roman"/>
      <w:sz w:val="18"/>
      <w:szCs w:val="18"/>
    </w:rPr>
  </w:style>
  <w:style w:type="character" w:customStyle="1" w:styleId="TekstEOChar">
    <w:name w:val="Tekst_EO Char"/>
    <w:basedOn w:val="DefaultParagraphFont"/>
    <w:link w:val="TekstEO"/>
    <w:rsid w:val="00F44B3D"/>
    <w:rPr>
      <w:rFonts w:ascii="Myriad Pro" w:hAnsi="Myriad Pro"/>
      <w:sz w:val="18"/>
      <w:szCs w:val="18"/>
      <w:lang w:eastAsia="en-US"/>
    </w:rPr>
  </w:style>
  <w:style w:type="paragraph" w:styleId="Bibliography">
    <w:name w:val="Bibliography"/>
    <w:basedOn w:val="Normal"/>
    <w:next w:val="Normal"/>
    <w:uiPriority w:val="37"/>
    <w:unhideWhenUsed/>
    <w:rsid w:val="00B353D5"/>
    <w:pPr>
      <w:spacing w:after="0" w:line="480" w:lineRule="auto"/>
      <w:ind w:left="720" w:hanging="720"/>
    </w:pPr>
  </w:style>
  <w:style w:type="character" w:customStyle="1" w:styleId="FootnoteTextChar1">
    <w:name w:val="Footnote Text Char1"/>
    <w:aliases w:val="Sprotna opomba_EO Char1, Char Char Char1,Char Char Char1,Sprotna opomba-besedilo Char1,Char Char Char Char Char1,Sprotna opomba - besedilo Znak1 Char1,Sprotna opomba - besedilo Znak Znak2 Char1,fn Char,Char Ch Char,o Char"/>
    <w:basedOn w:val="DefaultParagraphFont"/>
    <w:uiPriority w:val="8"/>
    <w:rsid w:val="007D2AE4"/>
    <w:rPr>
      <w:rFonts w:ascii="Myriad Pro" w:eastAsiaTheme="minorHAnsi" w:hAnsi="Myriad Pro" w:cstheme="minorBidi"/>
      <w:sz w:val="16"/>
      <w:szCs w:val="14"/>
      <w:lang w:eastAsia="en-US"/>
    </w:rPr>
  </w:style>
  <w:style w:type="character" w:customStyle="1" w:styleId="HeaderChar1">
    <w:name w:val="Header Char1"/>
    <w:basedOn w:val="DefaultParagraphFont"/>
    <w:uiPriority w:val="99"/>
    <w:rsid w:val="007D2AE4"/>
    <w:rPr>
      <w:rFonts w:ascii="Myriad Pro" w:eastAsiaTheme="minorHAnsi" w:hAnsi="Myriad Pro" w:cstheme="minorBidi"/>
      <w:sz w:val="22"/>
      <w:szCs w:val="22"/>
      <w:lang w:eastAsia="en-US"/>
    </w:rPr>
  </w:style>
  <w:style w:type="character" w:customStyle="1" w:styleId="Heading3Char1">
    <w:name w:val="Heading 3 Char1"/>
    <w:aliases w:val="Heading 3_UMAR Char1"/>
    <w:basedOn w:val="DefaultParagraphFont"/>
    <w:uiPriority w:val="3"/>
    <w:rsid w:val="007D2AE4"/>
    <w:rPr>
      <w:rFonts w:ascii="Myriad Pro" w:eastAsiaTheme="minorHAnsi" w:hAnsi="Myriad Pro" w:cs="Arial"/>
      <w:b/>
      <w:bCs/>
      <w:color w:val="9E001A" w:themeColor="accent1"/>
      <w:sz w:val="24"/>
      <w:szCs w:val="26"/>
      <w:lang w:eastAsia="en-US"/>
    </w:rPr>
  </w:style>
  <w:style w:type="character" w:customStyle="1" w:styleId="Heading2Char1">
    <w:name w:val="Heading 2 Char1"/>
    <w:aliases w:val="Heading 2_UMAR Char1"/>
    <w:basedOn w:val="DefaultParagraphFont"/>
    <w:uiPriority w:val="2"/>
    <w:rsid w:val="007D2AE4"/>
    <w:rPr>
      <w:rFonts w:ascii="Myriad Pro" w:eastAsiaTheme="minorHAnsi" w:hAnsi="Myriad Pro" w:cstheme="minorBidi"/>
      <w:b/>
      <w:color w:val="9E001A" w:themeColor="accent1"/>
      <w:sz w:val="24"/>
      <w:szCs w:val="22"/>
      <w:lang w:eastAsia="en-US"/>
    </w:rPr>
  </w:style>
  <w:style w:type="character" w:customStyle="1" w:styleId="Heading1Char1">
    <w:name w:val="Heading 1 Char1"/>
    <w:aliases w:val="Heading 1_UMAR Char1"/>
    <w:basedOn w:val="DefaultParagraphFont"/>
    <w:uiPriority w:val="1"/>
    <w:rsid w:val="007D2AE4"/>
    <w:rPr>
      <w:rFonts w:ascii="Myriad Pro" w:eastAsiaTheme="minorHAnsi" w:hAnsi="Myriad Pro" w:cs="Arial"/>
      <w:b/>
      <w:bCs/>
      <w:color w:val="9E001A" w:themeColor="accent1"/>
      <w:kern w:val="32"/>
      <w:sz w:val="28"/>
      <w:szCs w:val="22"/>
      <w:lang w:eastAsia="en-US"/>
    </w:rPr>
  </w:style>
  <w:style w:type="character" w:customStyle="1" w:styleId="FooterChar1">
    <w:name w:val="Footer Char1"/>
    <w:basedOn w:val="DefaultParagraphFont"/>
    <w:uiPriority w:val="99"/>
    <w:rsid w:val="007D2AE4"/>
    <w:rPr>
      <w:rFonts w:ascii="Myriad Pro" w:eastAsiaTheme="minorHAnsi" w:hAnsi="Myriad Pro" w:cstheme="minorBidi"/>
      <w:noProof/>
      <w:sz w:val="16"/>
      <w:szCs w:val="16"/>
      <w:lang w:eastAsia="en-US"/>
    </w:rPr>
  </w:style>
  <w:style w:type="character" w:customStyle="1" w:styleId="CaptionChar1">
    <w:name w:val="Caption Char1"/>
    <w:aliases w:val="Okvir/Slika/Tabela_UMAR Char1"/>
    <w:basedOn w:val="DefaultParagraphFont"/>
    <w:uiPriority w:val="4"/>
    <w:rsid w:val="007D2AE4"/>
    <w:rPr>
      <w:rFonts w:ascii="Myriad Pro" w:eastAsiaTheme="minorHAnsi" w:hAnsi="Myriad Pro" w:cstheme="minorBidi"/>
      <w:b/>
      <w:bCs/>
      <w:noProof/>
      <w:lang w:eastAsia="en-US"/>
    </w:rPr>
  </w:style>
  <w:style w:type="character" w:customStyle="1" w:styleId="CommentTextChar1">
    <w:name w:val="Comment Text Char1"/>
    <w:basedOn w:val="DefaultParagraphFont"/>
    <w:rsid w:val="007D2AE4"/>
    <w:rPr>
      <w:rFonts w:asciiTheme="minorHAnsi" w:eastAsiaTheme="minorHAnsi" w:hAnsiTheme="minorHAnsi" w:cstheme="minorBidi"/>
      <w:sz w:val="22"/>
      <w:lang w:eastAsia="en-US"/>
    </w:rPr>
  </w:style>
  <w:style w:type="character" w:customStyle="1" w:styleId="CommentSubjectChar1">
    <w:name w:val="Comment Subject Char1"/>
    <w:basedOn w:val="CommentTextChar1"/>
    <w:semiHidden/>
    <w:rsid w:val="007D2AE4"/>
    <w:rPr>
      <w:rFonts w:asciiTheme="minorHAnsi" w:eastAsiaTheme="minorHAnsi" w:hAnsiTheme="minorHAnsi" w:cstheme="minorBidi"/>
      <w:b/>
      <w:bCs/>
      <w:sz w:val="22"/>
      <w:lang w:eastAsia="en-US"/>
    </w:rPr>
  </w:style>
  <w:style w:type="character" w:customStyle="1" w:styleId="FootnoteTextChar2">
    <w:name w:val="Footnote Text Char2"/>
    <w:aliases w:val="Sprotna opomba_EO Char2, Char Char Char2,Char Char Char2,Sprotna opomba-besedilo Char2,Char Char Char Char Char2,Sprotna opomba - besedilo Znak1 Char2,Sprotna opomba - besedilo Znak Znak2 Char2,fn Char1,Char Ch Char1,o Char1"/>
    <w:basedOn w:val="DefaultParagraphFont"/>
    <w:link w:val="FootnoteText"/>
    <w:uiPriority w:val="8"/>
    <w:rsid w:val="001C4180"/>
    <w:rPr>
      <w:rFonts w:ascii="Myriad Pro" w:eastAsiaTheme="minorHAnsi" w:hAnsi="Myriad Pro" w:cstheme="minorBidi"/>
      <w:sz w:val="16"/>
      <w:szCs w:val="14"/>
      <w:lang w:eastAsia="en-US"/>
    </w:rPr>
  </w:style>
  <w:style w:type="character" w:customStyle="1" w:styleId="HeaderChar2">
    <w:name w:val="Header Char2"/>
    <w:basedOn w:val="DefaultParagraphFont"/>
    <w:link w:val="Header"/>
    <w:uiPriority w:val="99"/>
    <w:rsid w:val="001C4180"/>
    <w:rPr>
      <w:rFonts w:ascii="Myriad Pro" w:eastAsiaTheme="minorHAnsi" w:hAnsi="Myriad Pro" w:cstheme="minorBidi"/>
      <w:sz w:val="22"/>
      <w:szCs w:val="22"/>
      <w:lang w:eastAsia="en-US"/>
    </w:rPr>
  </w:style>
  <w:style w:type="character" w:customStyle="1" w:styleId="Heading3Char2">
    <w:name w:val="Heading 3 Char2"/>
    <w:aliases w:val="Heading 3_UMAR Char2"/>
    <w:basedOn w:val="DefaultParagraphFont"/>
    <w:link w:val="Heading3"/>
    <w:uiPriority w:val="3"/>
    <w:rsid w:val="001C4180"/>
    <w:rPr>
      <w:rFonts w:ascii="Myriad Pro" w:eastAsiaTheme="minorHAnsi" w:hAnsi="Myriad Pro" w:cs="Arial"/>
      <w:b/>
      <w:bCs/>
      <w:color w:val="9E001A" w:themeColor="accent1"/>
      <w:sz w:val="24"/>
      <w:szCs w:val="26"/>
      <w:lang w:eastAsia="en-US"/>
    </w:rPr>
  </w:style>
  <w:style w:type="character" w:customStyle="1" w:styleId="Heading2Char2">
    <w:name w:val="Heading 2 Char2"/>
    <w:aliases w:val="Heading 2_UMAR Char2"/>
    <w:basedOn w:val="DefaultParagraphFont"/>
    <w:link w:val="Heading2"/>
    <w:uiPriority w:val="2"/>
    <w:rsid w:val="001C4180"/>
    <w:rPr>
      <w:rFonts w:ascii="Myriad Pro" w:eastAsiaTheme="minorHAnsi" w:hAnsi="Myriad Pro" w:cstheme="minorBidi"/>
      <w:b/>
      <w:color w:val="9E001A" w:themeColor="accent1"/>
      <w:sz w:val="24"/>
      <w:szCs w:val="22"/>
      <w:lang w:eastAsia="en-US"/>
    </w:rPr>
  </w:style>
  <w:style w:type="character" w:customStyle="1" w:styleId="Heading1Char2">
    <w:name w:val="Heading 1 Char2"/>
    <w:aliases w:val="Heading 1_UMAR Char2"/>
    <w:basedOn w:val="DefaultParagraphFont"/>
    <w:link w:val="Heading1"/>
    <w:uiPriority w:val="1"/>
    <w:rsid w:val="001C4180"/>
    <w:rPr>
      <w:rFonts w:ascii="Myriad Pro" w:eastAsiaTheme="minorHAnsi" w:hAnsi="Myriad Pro" w:cs="Arial"/>
      <w:b/>
      <w:bCs/>
      <w:color w:val="9E001A" w:themeColor="accent1"/>
      <w:kern w:val="32"/>
      <w:sz w:val="28"/>
      <w:szCs w:val="22"/>
      <w:lang w:eastAsia="en-US"/>
    </w:rPr>
  </w:style>
  <w:style w:type="character" w:customStyle="1" w:styleId="FooterChar2">
    <w:name w:val="Footer Char2"/>
    <w:basedOn w:val="DefaultParagraphFont"/>
    <w:link w:val="Footer"/>
    <w:uiPriority w:val="99"/>
    <w:rsid w:val="001C4180"/>
    <w:rPr>
      <w:rFonts w:ascii="Myriad Pro" w:eastAsiaTheme="minorHAnsi" w:hAnsi="Myriad Pro" w:cstheme="minorBidi"/>
      <w:noProof/>
      <w:sz w:val="16"/>
      <w:szCs w:val="16"/>
      <w:lang w:eastAsia="en-US"/>
    </w:rPr>
  </w:style>
  <w:style w:type="character" w:customStyle="1" w:styleId="CaptionChar2">
    <w:name w:val="Caption Char2"/>
    <w:aliases w:val="Okvir/Slika/Tabela_UMAR Char2"/>
    <w:basedOn w:val="DefaultParagraphFont"/>
    <w:link w:val="Caption"/>
    <w:uiPriority w:val="4"/>
    <w:rsid w:val="001C4180"/>
    <w:rPr>
      <w:rFonts w:ascii="Myriad Pro" w:eastAsiaTheme="minorHAnsi" w:hAnsi="Myriad Pro" w:cstheme="minorBidi"/>
      <w:b/>
      <w:bCs/>
      <w:noProof/>
      <w:lang w:eastAsia="en-US"/>
    </w:rPr>
  </w:style>
  <w:style w:type="character" w:customStyle="1" w:styleId="CommentTextChar2">
    <w:name w:val="Comment Text Char2"/>
    <w:basedOn w:val="DefaultParagraphFont"/>
    <w:link w:val="CommentText"/>
    <w:rsid w:val="001C4180"/>
    <w:rPr>
      <w:rFonts w:asciiTheme="minorHAnsi" w:eastAsiaTheme="minorHAnsi" w:hAnsiTheme="minorHAnsi" w:cstheme="minorBidi"/>
      <w:sz w:val="22"/>
      <w:lang w:eastAsia="en-US"/>
    </w:rPr>
  </w:style>
  <w:style w:type="character" w:customStyle="1" w:styleId="CommentSubjectChar2">
    <w:name w:val="Comment Subject Char2"/>
    <w:basedOn w:val="CommentTextChar2"/>
    <w:link w:val="CommentSubject"/>
    <w:semiHidden/>
    <w:rsid w:val="001C4180"/>
    <w:rPr>
      <w:rFonts w:asciiTheme="minorHAnsi" w:eastAsiaTheme="minorHAnsi" w:hAnsiTheme="minorHAnsi" w:cstheme="minorBidi"/>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63547">
      <w:bodyDiv w:val="1"/>
      <w:marLeft w:val="0"/>
      <w:marRight w:val="0"/>
      <w:marTop w:val="0"/>
      <w:marBottom w:val="0"/>
      <w:divBdr>
        <w:top w:val="none" w:sz="0" w:space="0" w:color="auto"/>
        <w:left w:val="none" w:sz="0" w:space="0" w:color="auto"/>
        <w:bottom w:val="none" w:sz="0" w:space="0" w:color="auto"/>
        <w:right w:val="none" w:sz="0" w:space="0" w:color="auto"/>
      </w:divBdr>
      <w:divsChild>
        <w:div w:id="214439933">
          <w:marLeft w:val="0"/>
          <w:marRight w:val="0"/>
          <w:marTop w:val="0"/>
          <w:marBottom w:val="0"/>
          <w:divBdr>
            <w:top w:val="none" w:sz="0" w:space="0" w:color="auto"/>
            <w:left w:val="none" w:sz="0" w:space="0" w:color="auto"/>
            <w:bottom w:val="none" w:sz="0" w:space="0" w:color="auto"/>
            <w:right w:val="none" w:sz="0" w:space="0" w:color="auto"/>
          </w:divBdr>
        </w:div>
        <w:div w:id="1360660498">
          <w:marLeft w:val="0"/>
          <w:marRight w:val="0"/>
          <w:marTop w:val="0"/>
          <w:marBottom w:val="0"/>
          <w:divBdr>
            <w:top w:val="none" w:sz="0" w:space="0" w:color="auto"/>
            <w:left w:val="none" w:sz="0" w:space="0" w:color="auto"/>
            <w:bottom w:val="none" w:sz="0" w:space="0" w:color="auto"/>
            <w:right w:val="none" w:sz="0" w:space="0" w:color="auto"/>
          </w:divBdr>
        </w:div>
        <w:div w:id="322127555">
          <w:marLeft w:val="0"/>
          <w:marRight w:val="0"/>
          <w:marTop w:val="0"/>
          <w:marBottom w:val="0"/>
          <w:divBdr>
            <w:top w:val="none" w:sz="0" w:space="0" w:color="auto"/>
            <w:left w:val="none" w:sz="0" w:space="0" w:color="auto"/>
            <w:bottom w:val="none" w:sz="0" w:space="0" w:color="auto"/>
            <w:right w:val="none" w:sz="0" w:space="0" w:color="auto"/>
          </w:divBdr>
        </w:div>
        <w:div w:id="833648539">
          <w:marLeft w:val="0"/>
          <w:marRight w:val="0"/>
          <w:marTop w:val="0"/>
          <w:marBottom w:val="0"/>
          <w:divBdr>
            <w:top w:val="none" w:sz="0" w:space="0" w:color="auto"/>
            <w:left w:val="none" w:sz="0" w:space="0" w:color="auto"/>
            <w:bottom w:val="none" w:sz="0" w:space="0" w:color="auto"/>
            <w:right w:val="none" w:sz="0" w:space="0" w:color="auto"/>
          </w:divBdr>
        </w:div>
        <w:div w:id="531235981">
          <w:marLeft w:val="0"/>
          <w:marRight w:val="0"/>
          <w:marTop w:val="0"/>
          <w:marBottom w:val="0"/>
          <w:divBdr>
            <w:top w:val="none" w:sz="0" w:space="0" w:color="auto"/>
            <w:left w:val="none" w:sz="0" w:space="0" w:color="auto"/>
            <w:bottom w:val="none" w:sz="0" w:space="0" w:color="auto"/>
            <w:right w:val="none" w:sz="0" w:space="0" w:color="auto"/>
          </w:divBdr>
        </w:div>
        <w:div w:id="424113238">
          <w:marLeft w:val="0"/>
          <w:marRight w:val="0"/>
          <w:marTop w:val="0"/>
          <w:marBottom w:val="0"/>
          <w:divBdr>
            <w:top w:val="none" w:sz="0" w:space="0" w:color="auto"/>
            <w:left w:val="none" w:sz="0" w:space="0" w:color="auto"/>
            <w:bottom w:val="none" w:sz="0" w:space="0" w:color="auto"/>
            <w:right w:val="none" w:sz="0" w:space="0" w:color="auto"/>
          </w:divBdr>
        </w:div>
        <w:div w:id="871646582">
          <w:marLeft w:val="0"/>
          <w:marRight w:val="0"/>
          <w:marTop w:val="0"/>
          <w:marBottom w:val="0"/>
          <w:divBdr>
            <w:top w:val="none" w:sz="0" w:space="0" w:color="auto"/>
            <w:left w:val="none" w:sz="0" w:space="0" w:color="auto"/>
            <w:bottom w:val="none" w:sz="0" w:space="0" w:color="auto"/>
            <w:right w:val="none" w:sz="0" w:space="0" w:color="auto"/>
          </w:divBdr>
        </w:div>
        <w:div w:id="1312440295">
          <w:marLeft w:val="0"/>
          <w:marRight w:val="0"/>
          <w:marTop w:val="0"/>
          <w:marBottom w:val="0"/>
          <w:divBdr>
            <w:top w:val="none" w:sz="0" w:space="0" w:color="auto"/>
            <w:left w:val="none" w:sz="0" w:space="0" w:color="auto"/>
            <w:bottom w:val="none" w:sz="0" w:space="0" w:color="auto"/>
            <w:right w:val="none" w:sz="0" w:space="0" w:color="auto"/>
          </w:divBdr>
        </w:div>
        <w:div w:id="248319646">
          <w:marLeft w:val="0"/>
          <w:marRight w:val="0"/>
          <w:marTop w:val="0"/>
          <w:marBottom w:val="0"/>
          <w:divBdr>
            <w:top w:val="none" w:sz="0" w:space="0" w:color="auto"/>
            <w:left w:val="none" w:sz="0" w:space="0" w:color="auto"/>
            <w:bottom w:val="none" w:sz="0" w:space="0" w:color="auto"/>
            <w:right w:val="none" w:sz="0" w:space="0" w:color="auto"/>
          </w:divBdr>
        </w:div>
        <w:div w:id="1358845158">
          <w:marLeft w:val="0"/>
          <w:marRight w:val="0"/>
          <w:marTop w:val="0"/>
          <w:marBottom w:val="0"/>
          <w:divBdr>
            <w:top w:val="none" w:sz="0" w:space="0" w:color="auto"/>
            <w:left w:val="none" w:sz="0" w:space="0" w:color="auto"/>
            <w:bottom w:val="none" w:sz="0" w:space="0" w:color="auto"/>
            <w:right w:val="none" w:sz="0" w:space="0" w:color="auto"/>
          </w:divBdr>
        </w:div>
        <w:div w:id="791823803">
          <w:marLeft w:val="0"/>
          <w:marRight w:val="0"/>
          <w:marTop w:val="0"/>
          <w:marBottom w:val="0"/>
          <w:divBdr>
            <w:top w:val="none" w:sz="0" w:space="0" w:color="auto"/>
            <w:left w:val="none" w:sz="0" w:space="0" w:color="auto"/>
            <w:bottom w:val="none" w:sz="0" w:space="0" w:color="auto"/>
            <w:right w:val="none" w:sz="0" w:space="0" w:color="auto"/>
          </w:divBdr>
        </w:div>
        <w:div w:id="966859133">
          <w:marLeft w:val="0"/>
          <w:marRight w:val="0"/>
          <w:marTop w:val="0"/>
          <w:marBottom w:val="0"/>
          <w:divBdr>
            <w:top w:val="none" w:sz="0" w:space="0" w:color="auto"/>
            <w:left w:val="none" w:sz="0" w:space="0" w:color="auto"/>
            <w:bottom w:val="none" w:sz="0" w:space="0" w:color="auto"/>
            <w:right w:val="none" w:sz="0" w:space="0" w:color="auto"/>
          </w:divBdr>
        </w:div>
        <w:div w:id="1560019073">
          <w:marLeft w:val="0"/>
          <w:marRight w:val="0"/>
          <w:marTop w:val="0"/>
          <w:marBottom w:val="0"/>
          <w:divBdr>
            <w:top w:val="none" w:sz="0" w:space="0" w:color="auto"/>
            <w:left w:val="none" w:sz="0" w:space="0" w:color="auto"/>
            <w:bottom w:val="none" w:sz="0" w:space="0" w:color="auto"/>
            <w:right w:val="none" w:sz="0" w:space="0" w:color="auto"/>
          </w:divBdr>
        </w:div>
        <w:div w:id="1299185756">
          <w:marLeft w:val="0"/>
          <w:marRight w:val="0"/>
          <w:marTop w:val="0"/>
          <w:marBottom w:val="0"/>
          <w:divBdr>
            <w:top w:val="none" w:sz="0" w:space="0" w:color="auto"/>
            <w:left w:val="none" w:sz="0" w:space="0" w:color="auto"/>
            <w:bottom w:val="none" w:sz="0" w:space="0" w:color="auto"/>
            <w:right w:val="none" w:sz="0" w:space="0" w:color="auto"/>
          </w:divBdr>
        </w:div>
        <w:div w:id="1537542290">
          <w:marLeft w:val="0"/>
          <w:marRight w:val="0"/>
          <w:marTop w:val="0"/>
          <w:marBottom w:val="0"/>
          <w:divBdr>
            <w:top w:val="none" w:sz="0" w:space="0" w:color="auto"/>
            <w:left w:val="none" w:sz="0" w:space="0" w:color="auto"/>
            <w:bottom w:val="none" w:sz="0" w:space="0" w:color="auto"/>
            <w:right w:val="none" w:sz="0" w:space="0" w:color="auto"/>
          </w:divBdr>
        </w:div>
        <w:div w:id="1335954201">
          <w:marLeft w:val="0"/>
          <w:marRight w:val="0"/>
          <w:marTop w:val="0"/>
          <w:marBottom w:val="0"/>
          <w:divBdr>
            <w:top w:val="none" w:sz="0" w:space="0" w:color="auto"/>
            <w:left w:val="none" w:sz="0" w:space="0" w:color="auto"/>
            <w:bottom w:val="none" w:sz="0" w:space="0" w:color="auto"/>
            <w:right w:val="none" w:sz="0" w:space="0" w:color="auto"/>
          </w:divBdr>
        </w:div>
        <w:div w:id="1232497006">
          <w:marLeft w:val="0"/>
          <w:marRight w:val="0"/>
          <w:marTop w:val="0"/>
          <w:marBottom w:val="0"/>
          <w:divBdr>
            <w:top w:val="none" w:sz="0" w:space="0" w:color="auto"/>
            <w:left w:val="none" w:sz="0" w:space="0" w:color="auto"/>
            <w:bottom w:val="none" w:sz="0" w:space="0" w:color="auto"/>
            <w:right w:val="none" w:sz="0" w:space="0" w:color="auto"/>
          </w:divBdr>
        </w:div>
        <w:div w:id="1240561747">
          <w:marLeft w:val="0"/>
          <w:marRight w:val="0"/>
          <w:marTop w:val="0"/>
          <w:marBottom w:val="0"/>
          <w:divBdr>
            <w:top w:val="none" w:sz="0" w:space="0" w:color="auto"/>
            <w:left w:val="none" w:sz="0" w:space="0" w:color="auto"/>
            <w:bottom w:val="none" w:sz="0" w:space="0" w:color="auto"/>
            <w:right w:val="none" w:sz="0" w:space="0" w:color="auto"/>
          </w:divBdr>
        </w:div>
        <w:div w:id="636649222">
          <w:marLeft w:val="0"/>
          <w:marRight w:val="0"/>
          <w:marTop w:val="0"/>
          <w:marBottom w:val="0"/>
          <w:divBdr>
            <w:top w:val="none" w:sz="0" w:space="0" w:color="auto"/>
            <w:left w:val="none" w:sz="0" w:space="0" w:color="auto"/>
            <w:bottom w:val="none" w:sz="0" w:space="0" w:color="auto"/>
            <w:right w:val="none" w:sz="0" w:space="0" w:color="auto"/>
          </w:divBdr>
        </w:div>
        <w:div w:id="992175661">
          <w:marLeft w:val="0"/>
          <w:marRight w:val="0"/>
          <w:marTop w:val="0"/>
          <w:marBottom w:val="0"/>
          <w:divBdr>
            <w:top w:val="none" w:sz="0" w:space="0" w:color="auto"/>
            <w:left w:val="none" w:sz="0" w:space="0" w:color="auto"/>
            <w:bottom w:val="none" w:sz="0" w:space="0" w:color="auto"/>
            <w:right w:val="none" w:sz="0" w:space="0" w:color="auto"/>
          </w:divBdr>
        </w:div>
        <w:div w:id="1688411694">
          <w:marLeft w:val="0"/>
          <w:marRight w:val="0"/>
          <w:marTop w:val="0"/>
          <w:marBottom w:val="0"/>
          <w:divBdr>
            <w:top w:val="none" w:sz="0" w:space="0" w:color="auto"/>
            <w:left w:val="none" w:sz="0" w:space="0" w:color="auto"/>
            <w:bottom w:val="none" w:sz="0" w:space="0" w:color="auto"/>
            <w:right w:val="none" w:sz="0" w:space="0" w:color="auto"/>
          </w:divBdr>
        </w:div>
        <w:div w:id="1418356673">
          <w:marLeft w:val="0"/>
          <w:marRight w:val="0"/>
          <w:marTop w:val="0"/>
          <w:marBottom w:val="0"/>
          <w:divBdr>
            <w:top w:val="none" w:sz="0" w:space="0" w:color="auto"/>
            <w:left w:val="none" w:sz="0" w:space="0" w:color="auto"/>
            <w:bottom w:val="none" w:sz="0" w:space="0" w:color="auto"/>
            <w:right w:val="none" w:sz="0" w:space="0" w:color="auto"/>
          </w:divBdr>
        </w:div>
      </w:divsChild>
    </w:div>
    <w:div w:id="336613499">
      <w:bodyDiv w:val="1"/>
      <w:marLeft w:val="0"/>
      <w:marRight w:val="0"/>
      <w:marTop w:val="0"/>
      <w:marBottom w:val="0"/>
      <w:divBdr>
        <w:top w:val="none" w:sz="0" w:space="0" w:color="auto"/>
        <w:left w:val="none" w:sz="0" w:space="0" w:color="auto"/>
        <w:bottom w:val="none" w:sz="0" w:space="0" w:color="auto"/>
        <w:right w:val="none" w:sz="0" w:space="0" w:color="auto"/>
      </w:divBdr>
    </w:div>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744687943">
      <w:bodyDiv w:val="1"/>
      <w:marLeft w:val="0"/>
      <w:marRight w:val="0"/>
      <w:marTop w:val="0"/>
      <w:marBottom w:val="0"/>
      <w:divBdr>
        <w:top w:val="none" w:sz="0" w:space="0" w:color="auto"/>
        <w:left w:val="none" w:sz="0" w:space="0" w:color="auto"/>
        <w:bottom w:val="none" w:sz="0" w:space="0" w:color="auto"/>
        <w:right w:val="none" w:sz="0" w:space="0" w:color="auto"/>
      </w:divBdr>
    </w:div>
    <w:div w:id="792289789">
      <w:bodyDiv w:val="1"/>
      <w:marLeft w:val="0"/>
      <w:marRight w:val="0"/>
      <w:marTop w:val="0"/>
      <w:marBottom w:val="0"/>
      <w:divBdr>
        <w:top w:val="none" w:sz="0" w:space="0" w:color="auto"/>
        <w:left w:val="none" w:sz="0" w:space="0" w:color="auto"/>
        <w:bottom w:val="none" w:sz="0" w:space="0" w:color="auto"/>
        <w:right w:val="none" w:sz="0" w:space="0" w:color="auto"/>
      </w:divBdr>
    </w:div>
    <w:div w:id="795946188">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header" Target="header1.xml"/><Relationship Id="rId20" Type="http://schemas.openxmlformats.org/officeDocument/2006/relationships/image" Target="media/image12.emf"/><Relationship Id="rId41" Type="http://schemas.openxmlformats.org/officeDocument/2006/relationships/image" Target="media/image33.emf"/></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6641-AA5A-4416-AE77-05AD448E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9258</Words>
  <Characters>90535</Characters>
  <Application>Microsoft Office Word</Application>
  <DocSecurity>0</DocSecurity>
  <Lines>754</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99594</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2023-09-27T07:10:00Z</dcterms:created>
  <dcterms:modified xsi:type="dcterms:W3CDTF">2023-09-27T07:12:00Z</dcterms:modified>
</cp:coreProperties>
</file>